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left"/>
        <w:rPr>
          <w:rFonts w:ascii="黑体" w:hAnsi="黑体" w:eastAsia="黑体"/>
          <w:w w:val="99"/>
          <w:sz w:val="32"/>
          <w:szCs w:val="32"/>
        </w:rPr>
      </w:pPr>
      <w:r>
        <w:rPr>
          <w:rFonts w:hint="eastAsia" w:ascii="黑体" w:hAnsi="黑体" w:eastAsia="黑体"/>
          <w:w w:val="99"/>
          <w:sz w:val="32"/>
          <w:szCs w:val="32"/>
        </w:rPr>
        <w:t>附件</w:t>
      </w:r>
    </w:p>
    <w:p>
      <w:pPr>
        <w:widowControl/>
        <w:spacing w:line="240" w:lineRule="exact"/>
        <w:jc w:val="left"/>
        <w:rPr>
          <w:rFonts w:ascii="黑体" w:hAnsi="黑体" w:eastAsia="黑体"/>
          <w:w w:val="99"/>
          <w:sz w:val="32"/>
          <w:szCs w:val="32"/>
        </w:rPr>
      </w:pPr>
    </w:p>
    <w:p>
      <w:pPr>
        <w:widowControl/>
        <w:spacing w:line="600"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2022年度</w:t>
      </w:r>
      <w:r>
        <w:fldChar w:fldCharType="begin"/>
      </w:r>
      <w:r>
        <w:instrText xml:space="preserve"> HYPERLINK "http://www.jxstc.gov.cn/xzzx/0114.doc" </w:instrText>
      </w:r>
      <w:r>
        <w:fldChar w:fldCharType="separate"/>
      </w:r>
      <w:r>
        <w:rPr>
          <w:rFonts w:hint="eastAsia" w:asciiTheme="majorEastAsia" w:hAnsiTheme="majorEastAsia" w:eastAsiaTheme="majorEastAsia"/>
          <w:b/>
          <w:sz w:val="44"/>
          <w:szCs w:val="44"/>
        </w:rPr>
        <w:t>南昌市科技计划项目申报指南</w:t>
      </w:r>
      <w:r>
        <w:rPr>
          <w:rFonts w:hint="eastAsia" w:asciiTheme="majorEastAsia" w:hAnsiTheme="majorEastAsia" w:eastAsiaTheme="majorEastAsia"/>
          <w:b/>
          <w:sz w:val="44"/>
          <w:szCs w:val="44"/>
        </w:rPr>
        <w:fldChar w:fldCharType="end"/>
      </w:r>
    </w:p>
    <w:p>
      <w:pPr>
        <w:widowControl/>
        <w:ind w:firstLine="622" w:firstLineChars="200"/>
        <w:rPr>
          <w:rFonts w:ascii="仿宋_GB2312" w:hAnsi="仿宋" w:eastAsia="仿宋_GB2312"/>
          <w:sz w:val="32"/>
          <w:szCs w:val="32"/>
        </w:rPr>
      </w:pPr>
    </w:p>
    <w:p>
      <w:pPr>
        <w:widowControl/>
        <w:ind w:firstLine="622" w:firstLineChars="200"/>
        <w:rPr>
          <w:rFonts w:ascii="仿宋_GB2312" w:hAnsi="仿宋" w:eastAsia="仿宋_GB2312"/>
          <w:sz w:val="32"/>
          <w:szCs w:val="32"/>
        </w:rPr>
      </w:pPr>
      <w:r>
        <w:rPr>
          <w:rFonts w:hint="eastAsia" w:ascii="仿宋_GB2312" w:hAnsi="仿宋" w:eastAsia="仿宋_GB2312"/>
          <w:sz w:val="32"/>
          <w:szCs w:val="32"/>
        </w:rPr>
        <w:t>根据《中共南昌市委南昌市人民政府关于深入推进创新驱动发展战略加快创新型城市建设的实施意见》（洪发〔2016〕20号）的要求，紧紧围绕我市产业发展战略，以</w:t>
      </w:r>
      <w:r>
        <w:rPr>
          <w:rFonts w:hint="eastAsia" w:ascii="仿宋_GB2312" w:eastAsia="仿宋_GB2312"/>
          <w:sz w:val="32"/>
          <w:szCs w:val="32"/>
        </w:rPr>
        <w:t>“</w:t>
      </w:r>
      <w:r>
        <w:rPr>
          <w:rFonts w:ascii="Times New Roman" w:hAnsi="Times New Roman" w:eastAsia="仿宋_GB2312"/>
          <w:sz w:val="32"/>
          <w:szCs w:val="32"/>
        </w:rPr>
        <w:t>巩固提升发展首位度、充分彰显省会担当”</w:t>
      </w:r>
      <w:r>
        <w:rPr>
          <w:rFonts w:hint="eastAsia" w:ascii="仿宋_GB2312" w:hAnsi="仿宋" w:eastAsia="仿宋_GB2312"/>
          <w:sz w:val="32"/>
          <w:szCs w:val="32"/>
        </w:rPr>
        <w:t>为动力，为全力推进我市科技创新能力提升，制定2022年南昌市科技计划项目申报指南。</w:t>
      </w:r>
    </w:p>
    <w:p>
      <w:pPr>
        <w:tabs>
          <w:tab w:val="left" w:pos="5376"/>
        </w:tabs>
        <w:spacing w:line="600" w:lineRule="exact"/>
        <w:ind w:firstLine="622" w:firstLineChars="200"/>
        <w:rPr>
          <w:rFonts w:ascii="黑体" w:hAnsi="黑体" w:eastAsia="黑体" w:cs="宋体"/>
          <w:bCs/>
          <w:kern w:val="0"/>
          <w:sz w:val="32"/>
          <w:szCs w:val="32"/>
        </w:rPr>
      </w:pPr>
      <w:r>
        <w:rPr>
          <w:rFonts w:hint="eastAsia" w:ascii="黑体" w:hAnsi="黑体" w:eastAsia="黑体" w:cs="宋体"/>
          <w:bCs/>
          <w:kern w:val="0"/>
          <w:sz w:val="32"/>
          <w:szCs w:val="32"/>
        </w:rPr>
        <w:t>一、创新引导计划</w:t>
      </w:r>
    </w:p>
    <w:p>
      <w:pPr>
        <w:tabs>
          <w:tab w:val="left" w:pos="5376"/>
        </w:tabs>
        <w:spacing w:line="600" w:lineRule="exact"/>
        <w:ind w:firstLine="622" w:firstLineChars="200"/>
        <w:rPr>
          <w:rFonts w:ascii="楷体_GB2312" w:hAnsi="宋体" w:eastAsia="楷体_GB2312"/>
          <w:b/>
          <w:sz w:val="32"/>
          <w:szCs w:val="32"/>
        </w:rPr>
      </w:pPr>
      <w:r>
        <w:rPr>
          <w:rFonts w:hint="eastAsia" w:ascii="楷体_GB2312" w:hAnsi="宋体" w:eastAsia="楷体_GB2312"/>
          <w:b/>
          <w:sz w:val="32"/>
          <w:szCs w:val="32"/>
        </w:rPr>
        <w:t>（一）项目类型</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一般科技计划项目（医疗卫生科技支撑）、科技金融（科技保险专项）、科技创新奖励（含省级重点新产品）。</w:t>
      </w:r>
    </w:p>
    <w:p>
      <w:pPr>
        <w:spacing w:line="600" w:lineRule="exact"/>
        <w:ind w:firstLine="622" w:firstLineChars="200"/>
        <w:rPr>
          <w:rFonts w:ascii="楷体_GB2312" w:hAnsi="宋体" w:eastAsia="楷体_GB2312"/>
          <w:b/>
          <w:sz w:val="32"/>
          <w:szCs w:val="32"/>
        </w:rPr>
      </w:pPr>
      <w:r>
        <w:rPr>
          <w:rFonts w:hint="eastAsia" w:ascii="楷体_GB2312" w:hAnsi="宋体" w:eastAsia="楷体_GB2312"/>
          <w:b/>
          <w:sz w:val="32"/>
          <w:szCs w:val="32"/>
        </w:rPr>
        <w:t>（二）申报条件</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1．医疗卫生科技支撑项目</w:t>
      </w:r>
    </w:p>
    <w:p>
      <w:pPr>
        <w:spacing w:line="600" w:lineRule="exact"/>
        <w:ind w:firstLine="622" w:firstLineChars="200"/>
        <w:rPr>
          <w:rFonts w:ascii="仿宋_GB2312" w:hAnsi="仿宋" w:eastAsia="仿宋_GB2312"/>
          <w:sz w:val="32"/>
          <w:szCs w:val="32"/>
        </w:rPr>
      </w:pPr>
      <w:r>
        <w:rPr>
          <w:rFonts w:hint="eastAsia" w:ascii="仿宋_GB2312" w:hAnsi="仿宋" w:eastAsia="仿宋_GB2312"/>
          <w:b/>
          <w:sz w:val="32"/>
          <w:szCs w:val="32"/>
        </w:rPr>
        <w:t>申报对象：</w:t>
      </w:r>
      <w:r>
        <w:rPr>
          <w:rFonts w:hint="eastAsia" w:ascii="仿宋_GB2312" w:hAnsi="仿宋" w:eastAsia="仿宋_GB2312"/>
          <w:sz w:val="32"/>
          <w:szCs w:val="32"/>
        </w:rPr>
        <w:t>南昌市财政征管范围内注册登记、具有独立法人资格涉及医疗卫生技术的事业、企业单位。</w:t>
      </w:r>
      <w:r>
        <w:rPr>
          <w:rFonts w:hint="eastAsia" w:ascii="仿宋_GB2312" w:hAnsi="仿宋" w:eastAsia="仿宋_GB2312"/>
          <w:b/>
          <w:sz w:val="32"/>
          <w:szCs w:val="32"/>
        </w:rPr>
        <w:t>申报指标分配见下表：</w:t>
      </w:r>
    </w:p>
    <w:p>
      <w:pPr>
        <w:spacing w:line="600" w:lineRule="exact"/>
        <w:jc w:val="center"/>
        <w:rPr>
          <w:rFonts w:ascii="仿宋_GB2312" w:hAnsi="仿宋" w:eastAsia="仿宋_GB2312"/>
          <w:sz w:val="32"/>
          <w:szCs w:val="32"/>
        </w:rPr>
      </w:pPr>
      <w:r>
        <w:rPr>
          <w:rFonts w:ascii="仿宋_GB2312" w:hAnsi="仿宋" w:eastAsia="仿宋_GB2312"/>
          <w:b/>
          <w:sz w:val="32"/>
          <w:szCs w:val="32"/>
        </w:rPr>
        <w:t>2022</w:t>
      </w:r>
      <w:r>
        <w:rPr>
          <w:rFonts w:hint="eastAsia" w:ascii="仿宋_GB2312" w:hAnsi="仿宋" w:eastAsia="仿宋_GB2312"/>
          <w:b/>
          <w:sz w:val="32"/>
          <w:szCs w:val="32"/>
        </w:rPr>
        <w:t>年医疗卫生科技攻关项目申报指标分配表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4537"/>
        <w:gridCol w:w="3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87" w:type="dxa"/>
            <w:shd w:val="clear" w:color="auto" w:fill="auto"/>
          </w:tcPr>
          <w:p>
            <w:pPr>
              <w:jc w:val="center"/>
              <w:rPr>
                <w:rFonts w:asciiTheme="minorEastAsia" w:hAnsiTheme="minorEastAsia" w:eastAsiaTheme="minorEastAsia"/>
                <w:b/>
                <w:bCs/>
                <w:sz w:val="24"/>
              </w:rPr>
            </w:pPr>
            <w:r>
              <w:rPr>
                <w:rFonts w:hint="eastAsia" w:asciiTheme="minorEastAsia" w:hAnsiTheme="minorEastAsia" w:eastAsiaTheme="minorEastAsia"/>
                <w:b/>
                <w:bCs/>
                <w:sz w:val="24"/>
              </w:rPr>
              <w:t>序号</w:t>
            </w:r>
          </w:p>
        </w:tc>
        <w:tc>
          <w:tcPr>
            <w:tcW w:w="4537" w:type="dxa"/>
            <w:shd w:val="clear" w:color="auto" w:fill="auto"/>
          </w:tcPr>
          <w:p>
            <w:pPr>
              <w:jc w:val="center"/>
              <w:rPr>
                <w:rFonts w:asciiTheme="minorEastAsia" w:hAnsiTheme="minorEastAsia" w:eastAsiaTheme="minorEastAsia"/>
                <w:b/>
                <w:bCs/>
                <w:sz w:val="24"/>
              </w:rPr>
            </w:pPr>
            <w:r>
              <w:rPr>
                <w:rFonts w:hint="eastAsia" w:asciiTheme="minorEastAsia" w:hAnsiTheme="minorEastAsia" w:eastAsiaTheme="minorEastAsia"/>
                <w:b/>
                <w:bCs/>
                <w:sz w:val="24"/>
              </w:rPr>
              <w:t>单 位</w:t>
            </w:r>
          </w:p>
        </w:tc>
        <w:tc>
          <w:tcPr>
            <w:tcW w:w="3487" w:type="dxa"/>
            <w:shd w:val="clear" w:color="auto" w:fill="auto"/>
          </w:tcPr>
          <w:p>
            <w:pPr>
              <w:jc w:val="center"/>
              <w:rPr>
                <w:rFonts w:asciiTheme="minorEastAsia" w:hAnsiTheme="minorEastAsia" w:eastAsiaTheme="minorEastAsia"/>
                <w:b/>
                <w:bCs/>
                <w:sz w:val="24"/>
              </w:rPr>
            </w:pPr>
            <w:r>
              <w:rPr>
                <w:rFonts w:hint="eastAsia" w:asciiTheme="minorEastAsia" w:hAnsiTheme="minorEastAsia" w:eastAsiaTheme="minorEastAsia"/>
                <w:b/>
                <w:bCs/>
                <w:sz w:val="24"/>
              </w:rPr>
              <w:t>最高申报项目数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南昌市第一医院</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南昌市第三医院</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江西省中西医结合医院</w:t>
            </w:r>
          </w:p>
        </w:tc>
        <w:tc>
          <w:tcPr>
            <w:tcW w:w="3487" w:type="dxa"/>
            <w:shd w:val="clear" w:color="auto" w:fill="auto"/>
          </w:tcPr>
          <w:p>
            <w:pPr>
              <w:jc w:val="center"/>
              <w:rPr>
                <w:rFonts w:asciiTheme="minorEastAsia" w:hAnsiTheme="minorEastAsia" w:eastAsiaTheme="minorEastAsia"/>
                <w:sz w:val="24"/>
              </w:rPr>
            </w:pPr>
            <w:r>
              <w:rPr>
                <w:rFonts w:asciiTheme="minorEastAsia" w:hAnsiTheme="minorEastAsia" w:eastAsiaTheme="minorEastAsia"/>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4</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南昌市第九医院</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5</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南昌市洪都中医院</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6</w:t>
            </w:r>
          </w:p>
        </w:tc>
        <w:tc>
          <w:tcPr>
            <w:tcW w:w="4537" w:type="dxa"/>
            <w:shd w:val="clear" w:color="auto" w:fill="auto"/>
          </w:tcPr>
          <w:p>
            <w:pPr>
              <w:rPr>
                <w:rFonts w:asciiTheme="minorEastAsia" w:hAnsiTheme="minorEastAsia" w:eastAsiaTheme="minorEastAsia"/>
                <w:spacing w:val="-20"/>
                <w:sz w:val="24"/>
              </w:rPr>
            </w:pPr>
            <w:r>
              <w:rPr>
                <w:rFonts w:hint="eastAsia" w:asciiTheme="minorEastAsia" w:hAnsiTheme="minorEastAsia" w:eastAsiaTheme="minorEastAsia"/>
                <w:spacing w:val="-20"/>
                <w:sz w:val="24"/>
              </w:rPr>
              <w:t>南昌市疾病预防控制中心</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7</w:t>
            </w:r>
          </w:p>
        </w:tc>
        <w:tc>
          <w:tcPr>
            <w:tcW w:w="4537" w:type="dxa"/>
            <w:shd w:val="clear" w:color="auto" w:fill="auto"/>
          </w:tcPr>
          <w:p>
            <w:pPr>
              <w:spacing w:line="360" w:lineRule="exact"/>
              <w:rPr>
                <w:rFonts w:asciiTheme="minorEastAsia" w:hAnsiTheme="minorEastAsia" w:eastAsiaTheme="minorEastAsia"/>
                <w:spacing w:val="-20"/>
                <w:sz w:val="24"/>
              </w:rPr>
            </w:pPr>
            <w:r>
              <w:rPr>
                <w:rFonts w:hint="eastAsia" w:asciiTheme="minorEastAsia" w:hAnsiTheme="minorEastAsia" w:eastAsiaTheme="minorEastAsia"/>
                <w:spacing w:val="-20"/>
                <w:sz w:val="24"/>
              </w:rPr>
              <w:t>南昌市生殖医院（南昌市医学科学研究所附属医院）</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8</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江西省皮肤病专科医院</w:t>
            </w:r>
          </w:p>
        </w:tc>
        <w:tc>
          <w:tcPr>
            <w:tcW w:w="3487" w:type="dxa"/>
            <w:shd w:val="clear" w:color="auto" w:fill="auto"/>
          </w:tcPr>
          <w:p>
            <w:pPr>
              <w:jc w:val="center"/>
              <w:rPr>
                <w:rFonts w:asciiTheme="minorEastAsia" w:hAnsiTheme="minorEastAsia" w:eastAsiaTheme="minorEastAsia"/>
                <w:sz w:val="24"/>
              </w:rPr>
            </w:pPr>
            <w:r>
              <w:rPr>
                <w:rFonts w:asciiTheme="minorEastAsia" w:hAnsiTheme="minorEastAsia" w:eastAsiaTheme="minorEastAsia"/>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9</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江西省精神病院</w:t>
            </w:r>
          </w:p>
        </w:tc>
        <w:tc>
          <w:tcPr>
            <w:tcW w:w="3487" w:type="dxa"/>
            <w:shd w:val="clear" w:color="auto" w:fill="auto"/>
          </w:tcPr>
          <w:p>
            <w:pPr>
              <w:jc w:val="center"/>
              <w:rPr>
                <w:rFonts w:asciiTheme="minorEastAsia" w:hAnsiTheme="minorEastAsia" w:eastAsiaTheme="minorEastAsia"/>
                <w:sz w:val="24"/>
              </w:rPr>
            </w:pPr>
            <w:r>
              <w:rPr>
                <w:rFonts w:asciiTheme="minorEastAsia" w:hAnsiTheme="minorEastAsia" w:eastAsiaTheme="minorEastAsia"/>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0</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南昌县人民医院</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1</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南昌市新建区人民医院</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2</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南昌市高新区人民医院</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3</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南昌爱尔眼科医院有限公司</w:t>
            </w:r>
          </w:p>
        </w:tc>
        <w:tc>
          <w:tcPr>
            <w:tcW w:w="34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4</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南昌天使妇产医院</w:t>
            </w:r>
          </w:p>
        </w:tc>
        <w:tc>
          <w:tcPr>
            <w:tcW w:w="3487" w:type="dxa"/>
            <w:shd w:val="clear" w:color="auto" w:fill="auto"/>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tcPr>
          <w:p>
            <w:pPr>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5</w:t>
            </w:r>
          </w:p>
        </w:tc>
        <w:tc>
          <w:tcPr>
            <w:tcW w:w="4537" w:type="dxa"/>
            <w:shd w:val="clear" w:color="auto" w:fill="auto"/>
          </w:tcPr>
          <w:p>
            <w:pPr>
              <w:rPr>
                <w:rFonts w:asciiTheme="minorEastAsia" w:hAnsiTheme="minorEastAsia" w:eastAsiaTheme="minorEastAsia"/>
                <w:sz w:val="24"/>
              </w:rPr>
            </w:pPr>
            <w:r>
              <w:rPr>
                <w:rFonts w:hint="eastAsia" w:asciiTheme="minorEastAsia" w:hAnsiTheme="minorEastAsia" w:eastAsiaTheme="minorEastAsia"/>
                <w:sz w:val="24"/>
              </w:rPr>
              <w:t>其他县区属医院、民营企业</w:t>
            </w:r>
          </w:p>
        </w:tc>
        <w:tc>
          <w:tcPr>
            <w:tcW w:w="3487" w:type="dxa"/>
            <w:shd w:val="clear" w:color="auto" w:fill="auto"/>
            <w:vAlign w:val="center"/>
          </w:tcPr>
          <w:p>
            <w:pPr>
              <w:jc w:val="center"/>
              <w:rPr>
                <w:rFonts w:asciiTheme="minorEastAsia" w:hAnsiTheme="minorEastAsia" w:eastAsiaTheme="minorEastAsia"/>
                <w:sz w:val="24"/>
              </w:rPr>
            </w:pPr>
            <w:r>
              <w:rPr>
                <w:rFonts w:asciiTheme="minorEastAsia" w:hAnsiTheme="minorEastAsia" w:eastAsiaTheme="minorEastAsia"/>
                <w:sz w:val="24"/>
              </w:rPr>
              <w:t>1</w:t>
            </w:r>
          </w:p>
        </w:tc>
      </w:tr>
    </w:tbl>
    <w:p>
      <w:pPr>
        <w:spacing w:line="600" w:lineRule="exact"/>
        <w:ind w:firstLine="622" w:firstLineChars="200"/>
        <w:rPr>
          <w:rFonts w:ascii="楷体_GB2312" w:eastAsia="楷体_GB2312"/>
          <w:b/>
          <w:sz w:val="32"/>
          <w:szCs w:val="32"/>
        </w:rPr>
      </w:pPr>
      <w:r>
        <w:rPr>
          <w:rFonts w:hint="eastAsia" w:ascii="楷体_GB2312" w:eastAsia="楷体_GB2312"/>
          <w:b/>
          <w:sz w:val="32"/>
          <w:szCs w:val="32"/>
        </w:rPr>
        <w:t>一般项目应具备以下条件：</w:t>
      </w:r>
    </w:p>
    <w:p>
      <w:pPr>
        <w:spacing w:line="600" w:lineRule="exact"/>
        <w:ind w:firstLine="622" w:firstLineChars="200"/>
        <w:rPr>
          <w:rFonts w:ascii="仿宋_GB2312" w:eastAsia="仿宋_GB2312"/>
          <w:sz w:val="32"/>
          <w:szCs w:val="32"/>
        </w:rPr>
      </w:pPr>
      <w:r>
        <w:rPr>
          <w:rFonts w:hint="eastAsia" w:ascii="仿宋_GB2312" w:hAnsi="仿宋" w:eastAsia="仿宋_GB2312"/>
          <w:sz w:val="32"/>
          <w:szCs w:val="32"/>
        </w:rPr>
        <w:t>①</w:t>
      </w:r>
      <w:r>
        <w:rPr>
          <w:rFonts w:hint="eastAsia" w:ascii="仿宋_GB2312" w:eastAsia="仿宋_GB2312"/>
          <w:sz w:val="32"/>
          <w:szCs w:val="32"/>
        </w:rPr>
        <w:t>项目申报符合国家、省、市医疗卫生技术和产业政策，且符合南昌市科技计划项目年度申报指南支持的重点领域和方向；</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②</w:t>
      </w:r>
      <w:r>
        <w:rPr>
          <w:rFonts w:hint="eastAsia" w:ascii="仿宋_GB2312" w:eastAsia="仿宋_GB2312"/>
          <w:sz w:val="32"/>
          <w:szCs w:val="32"/>
        </w:rPr>
        <w:t>项目属于本行业或本地区</w:t>
      </w:r>
      <w:r>
        <w:rPr>
          <w:rFonts w:ascii="仿宋_GB2312" w:eastAsia="仿宋_GB2312"/>
          <w:sz w:val="32"/>
          <w:szCs w:val="32"/>
        </w:rPr>
        <w:t>技术先进、应用前景</w:t>
      </w:r>
      <w:r>
        <w:rPr>
          <w:rFonts w:hint="eastAsia" w:ascii="仿宋_GB2312" w:eastAsia="仿宋_GB2312"/>
          <w:sz w:val="32"/>
          <w:szCs w:val="32"/>
        </w:rPr>
        <w:t>好</w:t>
      </w:r>
      <w:r>
        <w:rPr>
          <w:rFonts w:ascii="仿宋_GB2312" w:eastAsia="仿宋_GB2312"/>
          <w:sz w:val="32"/>
          <w:szCs w:val="32"/>
        </w:rPr>
        <w:t>、社会或经济效益</w:t>
      </w:r>
      <w:r>
        <w:rPr>
          <w:rFonts w:hint="eastAsia" w:ascii="仿宋_GB2312" w:eastAsia="仿宋_GB2312"/>
          <w:sz w:val="32"/>
          <w:szCs w:val="32"/>
        </w:rPr>
        <w:t>明显</w:t>
      </w:r>
      <w:r>
        <w:rPr>
          <w:rFonts w:ascii="仿宋_GB2312" w:eastAsia="仿宋_GB2312"/>
          <w:sz w:val="32"/>
          <w:szCs w:val="32"/>
        </w:rPr>
        <w:t>的应用研究</w:t>
      </w:r>
      <w:r>
        <w:rPr>
          <w:rFonts w:hint="eastAsia" w:ascii="仿宋_GB2312" w:eastAsia="仿宋_GB2312"/>
          <w:sz w:val="32"/>
          <w:szCs w:val="32"/>
        </w:rPr>
        <w:t>；</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③</w:t>
      </w:r>
      <w:r>
        <w:rPr>
          <w:rFonts w:hint="eastAsia" w:ascii="仿宋_GB2312" w:eastAsia="仿宋_GB2312"/>
          <w:sz w:val="32"/>
          <w:szCs w:val="32"/>
        </w:rPr>
        <w:t>申报单位具有完成项目必备的人才条件和技术装备，较好的前期研究基础，并具有完成项目的良好信誉；</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④</w:t>
      </w:r>
      <w:r>
        <w:rPr>
          <w:rFonts w:hint="eastAsia" w:ascii="仿宋_GB2312" w:eastAsia="仿宋_GB2312"/>
          <w:sz w:val="32"/>
          <w:szCs w:val="32"/>
        </w:rPr>
        <w:t>申报单位需要有确定的资金来源，合理的投资结构，确保项目顺利进行；</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⑤</w:t>
      </w:r>
      <w:r>
        <w:rPr>
          <w:rFonts w:hint="eastAsia" w:ascii="仿宋_GB2312" w:eastAsia="仿宋_GB2312"/>
          <w:sz w:val="32"/>
          <w:szCs w:val="32"/>
        </w:rPr>
        <w:t>项目负责人是在全市范围内医疗卫生机构的在职人员，具有相关研究领域的技术优势，具有与项目相关的研究经历和研究积累；</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⑥</w:t>
      </w:r>
      <w:r>
        <w:rPr>
          <w:rFonts w:hint="eastAsia" w:ascii="仿宋_GB2312" w:eastAsia="仿宋_GB2312"/>
          <w:sz w:val="32"/>
          <w:szCs w:val="32"/>
        </w:rPr>
        <w:t>项目负责人有1项及以上在研市级科研项目未按规定程序验收的，不得再次申报。已获省级及以上立项项目内容不得再重复申报市级科技项目；</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⑦</w:t>
      </w:r>
      <w:r>
        <w:rPr>
          <w:rFonts w:hint="eastAsia" w:ascii="仿宋_GB2312" w:eastAsia="仿宋_GB2312"/>
          <w:sz w:val="32"/>
          <w:szCs w:val="32"/>
        </w:rPr>
        <w:t xml:space="preserve">项目需与其他外单位合作的，须签署科技合作协议，明确双方权利义务和知识产权归属等。 </w:t>
      </w:r>
    </w:p>
    <w:p>
      <w:pPr>
        <w:spacing w:line="600" w:lineRule="exact"/>
        <w:ind w:firstLine="622" w:firstLineChars="200"/>
        <w:rPr>
          <w:rFonts w:ascii="楷体_GB2312" w:eastAsia="楷体_GB2312"/>
          <w:b/>
          <w:sz w:val="32"/>
          <w:szCs w:val="32"/>
        </w:rPr>
      </w:pPr>
      <w:r>
        <w:rPr>
          <w:rFonts w:hint="eastAsia" w:ascii="楷体_GB2312" w:eastAsia="楷体_GB2312"/>
          <w:b/>
          <w:sz w:val="32"/>
          <w:szCs w:val="32"/>
        </w:rPr>
        <w:t>重点项目除符合一般项目申报条件外，还需符合以下条件：</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①</w:t>
      </w:r>
      <w:r>
        <w:rPr>
          <w:rFonts w:hint="eastAsia" w:ascii="仿宋_GB2312" w:eastAsia="仿宋_GB2312"/>
          <w:sz w:val="32"/>
          <w:szCs w:val="32"/>
        </w:rPr>
        <w:t>项目属于本行业或本地区重大</w:t>
      </w:r>
      <w:r>
        <w:rPr>
          <w:rFonts w:ascii="仿宋_GB2312" w:eastAsia="仿宋_GB2312"/>
          <w:sz w:val="32"/>
          <w:szCs w:val="32"/>
        </w:rPr>
        <w:t>疾病的预防和临床诊治</w:t>
      </w:r>
      <w:r>
        <w:rPr>
          <w:rFonts w:hint="eastAsia" w:ascii="仿宋_GB2312" w:eastAsia="仿宋_GB2312"/>
          <w:sz w:val="32"/>
          <w:szCs w:val="32"/>
        </w:rPr>
        <w:t>共性关键技术的应用研究，研究成果应用转化前景广阔、社会或经济效益显著；</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②</w:t>
      </w:r>
      <w:r>
        <w:rPr>
          <w:rFonts w:hint="eastAsia" w:ascii="仿宋_GB2312" w:eastAsia="仿宋_GB2312"/>
          <w:sz w:val="32"/>
          <w:szCs w:val="32"/>
        </w:rPr>
        <w:t>项目研究团队应建立任务分工明确、相互沟通、相互协作的长效机制；</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③</w:t>
      </w:r>
      <w:r>
        <w:rPr>
          <w:rFonts w:hint="eastAsia" w:ascii="仿宋_GB2312" w:eastAsia="仿宋_GB2312"/>
          <w:sz w:val="32"/>
          <w:szCs w:val="32"/>
        </w:rPr>
        <w:t>项目自筹资金与申报财政补助资金比例不低于1：1，并提供项目申报单位自筹资金承诺书。</w:t>
      </w:r>
    </w:p>
    <w:p>
      <w:pPr>
        <w:spacing w:line="600" w:lineRule="exact"/>
        <w:ind w:firstLine="622" w:firstLineChars="200"/>
        <w:rPr>
          <w:rFonts w:ascii="楷体_GB2312" w:eastAsia="楷体_GB2312"/>
          <w:b/>
          <w:sz w:val="32"/>
          <w:szCs w:val="32"/>
        </w:rPr>
      </w:pPr>
      <w:r>
        <w:rPr>
          <w:rFonts w:hint="eastAsia" w:ascii="楷体_GB2312" w:eastAsia="楷体_GB2312"/>
          <w:b/>
          <w:sz w:val="32"/>
          <w:szCs w:val="32"/>
        </w:rPr>
        <w:t>支持领域：</w:t>
      </w:r>
    </w:p>
    <w:p>
      <w:pPr>
        <w:spacing w:line="600" w:lineRule="exact"/>
        <w:ind w:firstLine="622" w:firstLineChars="200"/>
        <w:rPr>
          <w:rFonts w:ascii="仿宋_GB2312" w:eastAsia="仿宋_GB2312"/>
          <w:sz w:val="32"/>
          <w:szCs w:val="32"/>
        </w:rPr>
      </w:pPr>
      <w:r>
        <w:rPr>
          <w:rFonts w:hint="eastAsia" w:ascii="仿宋_GB2312" w:eastAsia="仿宋_GB2312"/>
          <w:b/>
          <w:sz w:val="32"/>
          <w:szCs w:val="32"/>
        </w:rPr>
        <w:t>预防技术：</w:t>
      </w:r>
      <w:r>
        <w:rPr>
          <w:rFonts w:hint="eastAsia" w:ascii="仿宋_GB2312" w:eastAsia="仿宋_GB2312"/>
          <w:sz w:val="32"/>
          <w:szCs w:val="32"/>
        </w:rPr>
        <w:t>重大传染病、慢性病、地方病、常见多发病、疑难病等的临床应用共性关键防控技术，神经精神疾病的预防与早期诊治，重大疾病（恶性肿瘤、心血管疾病、脑血管疾病、消化系统疾病、泌尿系统疾病、呼吸系统、骨质疏松疾病等）的早期诊断和预防筛查技术，近视眼早期防控与筛查技术,</w:t>
      </w:r>
      <w:r>
        <w:rPr>
          <w:rFonts w:hint="eastAsia" w:ascii="仿宋_GB2312" w:hAnsi="仿宋" w:eastAsia="仿宋_GB2312"/>
          <w:sz w:val="32"/>
          <w:szCs w:val="32"/>
        </w:rPr>
        <w:t>重点寄生虫虫病防治科学研究。</w:t>
      </w:r>
    </w:p>
    <w:p>
      <w:pPr>
        <w:spacing w:line="600" w:lineRule="exact"/>
        <w:ind w:firstLine="622" w:firstLineChars="200"/>
        <w:rPr>
          <w:rFonts w:ascii="仿宋_GB2312" w:hAnsi="仿宋" w:eastAsia="仿宋_GB2312"/>
          <w:sz w:val="32"/>
          <w:szCs w:val="32"/>
        </w:rPr>
      </w:pPr>
      <w:r>
        <w:rPr>
          <w:rFonts w:hint="eastAsia" w:ascii="仿宋_GB2312" w:eastAsia="仿宋_GB2312"/>
          <w:b/>
          <w:sz w:val="32"/>
          <w:szCs w:val="32"/>
        </w:rPr>
        <w:t>诊断与治疗技术：</w:t>
      </w:r>
      <w:r>
        <w:rPr>
          <w:rFonts w:hint="eastAsia" w:ascii="仿宋_GB2312" w:eastAsia="仿宋_GB2312"/>
          <w:sz w:val="32"/>
          <w:szCs w:val="32"/>
        </w:rPr>
        <w:t>运用大数据、人工智能等技术在基因检测、图像识别、智能诊断、疾病预测等领域的应用，慢病管理、疑难病联合会诊、恶性肿瘤MDT的网上服务技术，区域医疗、移动医疗、智能医疗等新兴互联网医疗技术，自身免疫性神经疾病的精准诊断与治疗技术，肿瘤、癌症早期精准诊疗技术，机器人、微创根治肿瘤技术，干细胞临床治疗关键技术，老年健康监测与干预技术，</w:t>
      </w:r>
      <w:r>
        <w:rPr>
          <w:rFonts w:hint="eastAsia" w:ascii="仿宋_GB2312" w:hAnsi="仿宋" w:eastAsia="仿宋_GB2312"/>
          <w:sz w:val="32"/>
          <w:szCs w:val="32"/>
        </w:rPr>
        <w:t>针对妇女儿童开展生殖健康、精神健康等优生优育临床技术。</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突发公共卫生事件应急技术：</w:t>
      </w:r>
      <w:r>
        <w:rPr>
          <w:rFonts w:hint="eastAsia" w:ascii="仿宋_GB2312" w:hAnsi="仿宋" w:eastAsia="仿宋_GB2312"/>
          <w:sz w:val="32"/>
          <w:szCs w:val="32"/>
        </w:rPr>
        <w:t>乙肝、艾滋病、手足口等重大传染病及新发或突发传染病的流行病学以及疫苗、监控与突发公共卫生事件应对，以及心理健康相关科学研究。</w:t>
      </w:r>
    </w:p>
    <w:p>
      <w:pPr>
        <w:spacing w:line="600" w:lineRule="exact"/>
        <w:ind w:firstLine="622" w:firstLineChars="200"/>
        <w:rPr>
          <w:rFonts w:ascii="仿宋_GB2312" w:hAnsi="仿宋" w:eastAsia="仿宋_GB2312"/>
          <w:sz w:val="32"/>
          <w:szCs w:val="32"/>
        </w:rPr>
      </w:pPr>
      <w:r>
        <w:rPr>
          <w:rFonts w:hint="eastAsia" w:ascii="仿宋_GB2312" w:hAnsi="仿宋" w:eastAsia="仿宋_GB2312"/>
          <w:b/>
          <w:sz w:val="32"/>
          <w:szCs w:val="32"/>
        </w:rPr>
        <w:t>重大传染病的临床治疗关键技术：</w:t>
      </w:r>
      <w:r>
        <w:rPr>
          <w:rFonts w:hint="eastAsia" w:ascii="仿宋_GB2312" w:hAnsi="仿宋" w:eastAsia="仿宋_GB2312"/>
          <w:sz w:val="32"/>
          <w:szCs w:val="32"/>
        </w:rPr>
        <w:t>重要传染性疾病和新发、突发传染病的临床早期诊断、临床治疗和疫情防治研究以及传染疾病易感人群的防治技术研究，降低感染率、提高治愈率。</w:t>
      </w:r>
    </w:p>
    <w:p>
      <w:pPr>
        <w:spacing w:line="600" w:lineRule="exact"/>
        <w:ind w:firstLine="622" w:firstLineChars="200"/>
        <w:rPr>
          <w:rFonts w:ascii="仿宋_GB2312" w:hAnsi="仿宋" w:eastAsia="仿宋_GB2312"/>
          <w:sz w:val="32"/>
          <w:szCs w:val="32"/>
        </w:rPr>
      </w:pPr>
      <w:r>
        <w:rPr>
          <w:rFonts w:hint="eastAsia" w:ascii="仿宋_GB2312" w:hAnsi="仿宋" w:eastAsia="仿宋_GB2312"/>
          <w:b/>
          <w:sz w:val="32"/>
          <w:szCs w:val="32"/>
        </w:rPr>
        <w:t>中医对优势病种的治疗及疗效评价：</w:t>
      </w:r>
      <w:r>
        <w:rPr>
          <w:rFonts w:hint="eastAsia" w:ascii="仿宋_GB2312" w:eastAsia="仿宋_GB2312"/>
          <w:sz w:val="32"/>
          <w:szCs w:val="32"/>
        </w:rPr>
        <w:t>热敏灸康复治疗技术，</w:t>
      </w:r>
      <w:r>
        <w:rPr>
          <w:rFonts w:hint="eastAsia" w:ascii="仿宋_GB2312" w:hAnsi="仿宋" w:eastAsia="仿宋_GB2312"/>
          <w:sz w:val="32"/>
          <w:szCs w:val="32"/>
        </w:rPr>
        <w:t>中医治疗疑难病症、慢性疾病治疗技术等。</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2．科技保险专项</w:t>
      </w:r>
    </w:p>
    <w:p>
      <w:pPr>
        <w:spacing w:line="600" w:lineRule="exact"/>
        <w:ind w:firstLine="560" w:firstLineChars="180"/>
        <w:rPr>
          <w:rFonts w:ascii="仿宋_GB2312" w:hAnsi="黑体" w:eastAsia="仿宋_GB2312"/>
          <w:b/>
          <w:bCs/>
          <w:sz w:val="32"/>
          <w:szCs w:val="32"/>
        </w:rPr>
      </w:pPr>
      <w:r>
        <w:rPr>
          <w:rFonts w:hint="eastAsia" w:ascii="仿宋_GB2312" w:hAnsi="仿宋" w:eastAsia="仿宋_GB2312"/>
          <w:b/>
          <w:bCs/>
          <w:sz w:val="32"/>
          <w:szCs w:val="32"/>
        </w:rPr>
        <w:t>（1）</w:t>
      </w:r>
      <w:r>
        <w:rPr>
          <w:rFonts w:hint="eastAsia" w:ascii="仿宋_GB2312" w:hAnsi="黑体" w:eastAsia="仿宋_GB2312"/>
          <w:b/>
          <w:bCs/>
          <w:sz w:val="32"/>
          <w:szCs w:val="32"/>
        </w:rPr>
        <w:t>支持对象</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①申报企业为南昌市行政区域内登记注册的有独立法人资格高新技术企业、科技型中小企业、研发机构。</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②其它申请科技保险资金的企业，必须符合以下条件：</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A、研发的技术和生产的产品符合国家支持的高新技术产业和南昌市委、市政府确定的重点发展产业;</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B、以科学研究、技术开发、技术转让、技术咨询、技术服务和科技成果转化为主营业务，其高新技术产品、高新技术服务的收入应占企业当年主营业务收入的50%以上；</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C、拥有自主研发的技术储备（含授权的专利、软件著作权、登记的成果、认定的重点新产品）、授权转让的专利或专有技术等；</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D、有技术研发活动，每年用于研发投入的经费占企业年销售收入的2%（含）以上。</w:t>
      </w:r>
    </w:p>
    <w:p>
      <w:pPr>
        <w:spacing w:line="600" w:lineRule="exact"/>
        <w:ind w:firstLine="560" w:firstLineChars="180"/>
        <w:rPr>
          <w:rFonts w:ascii="仿宋_GB2312" w:hAnsi="仿宋" w:eastAsia="仿宋_GB2312"/>
          <w:b/>
          <w:sz w:val="32"/>
          <w:szCs w:val="32"/>
        </w:rPr>
      </w:pPr>
      <w:r>
        <w:rPr>
          <w:rFonts w:hint="eastAsia" w:ascii="仿宋_GB2312" w:hAnsi="仿宋" w:eastAsia="仿宋_GB2312"/>
          <w:b/>
          <w:sz w:val="32"/>
          <w:szCs w:val="32"/>
        </w:rPr>
        <w:t>（2）支持投保险种</w:t>
      </w:r>
    </w:p>
    <w:p>
      <w:pPr>
        <w:spacing w:line="600" w:lineRule="exact"/>
        <w:ind w:firstLine="560" w:firstLineChars="180"/>
        <w:rPr>
          <w:rFonts w:ascii="仿宋_GB2312" w:hAnsi="仿宋" w:eastAsia="仿宋_GB2312"/>
          <w:b/>
          <w:sz w:val="32"/>
          <w:szCs w:val="32"/>
        </w:rPr>
      </w:pPr>
      <w:r>
        <w:rPr>
          <w:rFonts w:hint="eastAsia" w:ascii="仿宋_GB2312" w:hAnsi="仿宋" w:eastAsia="仿宋_GB2312"/>
          <w:b/>
          <w:sz w:val="32"/>
          <w:szCs w:val="32"/>
        </w:rPr>
        <w:t>必须是在中国银保监会备案的以下险种：</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A、企业财险类：高新技术关键研发设备保险、高新技术营业中断保险、高新技术财产综合险、高新技术财产一切险、物流货物保险、专利执行保险。</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B、责任保险类：高新技术产品研发责任保险、高新技术产品责任保险、高新技术环境污染责任保险、高新技术产品质量保证保险、项目投资损失保险、公众责任保险、雇主责任保险、专利侵权责任保险。</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C、信用保证保险类：高新技术小额贷款保证保险、海外投资保险、短期出口信用保险、国内短期贸易信用保险、专利质押融资保证保险、专利许可信用保险。</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D、人身险类：高新技术高管人员、关键研发人员团体意外伤害保险和重大疾病保险。</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E、其它在中国银保监会备案的新增险种。</w:t>
      </w:r>
    </w:p>
    <w:p>
      <w:pPr>
        <w:spacing w:line="600" w:lineRule="exact"/>
        <w:ind w:firstLine="560" w:firstLineChars="180"/>
        <w:rPr>
          <w:rFonts w:ascii="仿宋_GB2312" w:hAnsi="仿宋" w:eastAsia="仿宋_GB2312"/>
          <w:b/>
          <w:sz w:val="32"/>
          <w:szCs w:val="32"/>
        </w:rPr>
      </w:pPr>
      <w:r>
        <w:rPr>
          <w:rFonts w:hint="eastAsia" w:ascii="仿宋_GB2312" w:hAnsi="仿宋" w:eastAsia="仿宋_GB2312"/>
          <w:b/>
          <w:sz w:val="32"/>
          <w:szCs w:val="32"/>
        </w:rPr>
        <w:t>（3）保险保费的计算时间</w:t>
      </w:r>
    </w:p>
    <w:p>
      <w:pPr>
        <w:spacing w:line="600" w:lineRule="exact"/>
        <w:ind w:firstLine="560" w:firstLineChars="180"/>
        <w:rPr>
          <w:rFonts w:ascii="仿宋_GB2312" w:hAnsi="仿宋" w:eastAsia="仿宋_GB2312"/>
          <w:sz w:val="32"/>
          <w:szCs w:val="32"/>
        </w:rPr>
      </w:pPr>
      <w:r>
        <w:rPr>
          <w:rFonts w:hint="eastAsia" w:ascii="仿宋_GB2312" w:hAnsi="仿宋" w:eastAsia="仿宋_GB2312"/>
          <w:sz w:val="32"/>
          <w:szCs w:val="32"/>
        </w:rPr>
        <w:t>科技保险保费实际发生日期须为2021年1月1日（含）至2021年12月31日（含）（以发票日期为准）。</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3．科技创新奖励</w:t>
      </w:r>
    </w:p>
    <w:p>
      <w:pPr>
        <w:spacing w:line="600" w:lineRule="exact"/>
        <w:ind w:firstLine="622" w:firstLineChars="200"/>
        <w:rPr>
          <w:rFonts w:ascii="仿宋_GB2312" w:hAnsi="仿宋" w:eastAsia="仿宋_GB2312"/>
          <w:sz w:val="32"/>
          <w:szCs w:val="32"/>
        </w:rPr>
      </w:pPr>
      <w:r>
        <w:rPr>
          <w:rFonts w:hint="eastAsia" w:ascii="仿宋" w:hAnsi="仿宋" w:eastAsia="仿宋"/>
          <w:sz w:val="32"/>
          <w:szCs w:val="32"/>
        </w:rPr>
        <w:t>⑴</w:t>
      </w:r>
      <w:r>
        <w:rPr>
          <w:rFonts w:hint="eastAsia" w:ascii="仿宋_GB2312" w:hAnsi="仿宋" w:eastAsia="仿宋_GB2312"/>
          <w:sz w:val="32"/>
          <w:szCs w:val="32"/>
        </w:rPr>
        <w:t>申请科技创新奖励经费的事项须符合《中共南昌市委、南昌市人民政府关于深入推进科技协同创新的实施意见》（洪发〔2013〕7号）和《中共南昌市委、南昌市人民政府关于实施“天下英雄城 聚天下英才”行动计划的意见》（洪发〔2018〕8号）相关规定。</w:t>
      </w:r>
    </w:p>
    <w:p>
      <w:pPr>
        <w:spacing w:line="600" w:lineRule="exact"/>
        <w:ind w:firstLine="622" w:firstLineChars="200"/>
        <w:rPr>
          <w:rFonts w:ascii="仿宋_GB2312" w:hAnsi="仿宋" w:eastAsia="仿宋_GB2312"/>
          <w:sz w:val="32"/>
          <w:szCs w:val="32"/>
        </w:rPr>
      </w:pPr>
      <w:r>
        <w:rPr>
          <w:rFonts w:hint="eastAsia" w:ascii="仿宋" w:hAnsi="仿宋" w:eastAsia="仿宋"/>
          <w:sz w:val="32"/>
          <w:szCs w:val="32"/>
        </w:rPr>
        <w:t>⑵</w:t>
      </w:r>
      <w:r>
        <w:rPr>
          <w:rFonts w:hint="eastAsia" w:ascii="仿宋_GB2312" w:hAnsi="仿宋" w:eastAsia="仿宋_GB2312"/>
          <w:sz w:val="32"/>
          <w:szCs w:val="32"/>
        </w:rPr>
        <w:t>申请科技创新奖励经费的事项须是2021年1月1日至2021年12月31日新认定、批准和获得的资格、荣誉、奖励等。</w:t>
      </w:r>
    </w:p>
    <w:p>
      <w:pPr>
        <w:spacing w:line="600" w:lineRule="exact"/>
        <w:ind w:firstLine="622" w:firstLineChars="200"/>
        <w:rPr>
          <w:rFonts w:ascii="仿宋_GB2312" w:hAnsi="仿宋" w:eastAsia="仿宋_GB2312"/>
          <w:sz w:val="32"/>
          <w:szCs w:val="32"/>
        </w:rPr>
      </w:pPr>
      <w:r>
        <w:rPr>
          <w:rFonts w:hint="eastAsia" w:ascii="仿宋" w:hAnsi="仿宋" w:eastAsia="仿宋"/>
          <w:sz w:val="32"/>
          <w:szCs w:val="32"/>
        </w:rPr>
        <w:t>⑶</w:t>
      </w:r>
      <w:r>
        <w:rPr>
          <w:rFonts w:hint="eastAsia" w:ascii="仿宋_GB2312" w:hAnsi="仿宋" w:eastAsia="仿宋_GB2312"/>
          <w:sz w:val="32"/>
          <w:szCs w:val="32"/>
        </w:rPr>
        <w:t>申请单位为企业的，企业上年度须有研发经费支出。</w:t>
      </w:r>
    </w:p>
    <w:p>
      <w:pPr>
        <w:spacing w:line="600" w:lineRule="exact"/>
        <w:ind w:firstLine="622" w:firstLineChars="200"/>
        <w:rPr>
          <w:rFonts w:ascii="楷体_GB2312" w:hAnsi="宋体" w:eastAsia="楷体_GB2312"/>
          <w:b/>
          <w:sz w:val="32"/>
          <w:szCs w:val="32"/>
        </w:rPr>
      </w:pPr>
      <w:r>
        <w:rPr>
          <w:rFonts w:hint="eastAsia" w:ascii="楷体_GB2312" w:hAnsi="宋体" w:eastAsia="楷体_GB2312"/>
          <w:b/>
          <w:sz w:val="32"/>
          <w:szCs w:val="32"/>
        </w:rPr>
        <w:t>（三）申报材料</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1．医疗卫生科技支撑项目</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⑴</w:t>
      </w:r>
      <w:r>
        <w:rPr>
          <w:rFonts w:hint="eastAsia" w:ascii="仿宋_GB2312" w:eastAsia="仿宋_GB2312"/>
          <w:sz w:val="32"/>
          <w:szCs w:val="32"/>
        </w:rPr>
        <w:t>事业单位法人证书或者法人营业执照和医疗机构执业许可证；</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⑵</w:t>
      </w:r>
      <w:r>
        <w:rPr>
          <w:rFonts w:hint="eastAsia" w:ascii="仿宋_GB2312" w:eastAsia="仿宋_GB2312"/>
          <w:sz w:val="32"/>
          <w:szCs w:val="32"/>
        </w:rPr>
        <w:t>《南昌市科技支撑计划项目申报书》；</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⑶</w:t>
      </w:r>
      <w:r>
        <w:rPr>
          <w:rFonts w:hint="eastAsia" w:ascii="仿宋_GB2312" w:eastAsia="仿宋_GB2312"/>
          <w:sz w:val="32"/>
          <w:szCs w:val="32"/>
        </w:rPr>
        <w:t>申报重点项目单位自筹资金承诺书；</w:t>
      </w:r>
    </w:p>
    <w:p>
      <w:pPr>
        <w:spacing w:line="600" w:lineRule="exact"/>
        <w:ind w:firstLine="622" w:firstLineChars="200"/>
        <w:rPr>
          <w:rFonts w:ascii="仿宋_GB2312" w:eastAsia="仿宋_GB2312"/>
          <w:sz w:val="32"/>
          <w:szCs w:val="32"/>
        </w:rPr>
      </w:pPr>
      <w:r>
        <w:rPr>
          <w:rFonts w:hint="eastAsia" w:ascii="仿宋_GB2312" w:eastAsia="仿宋_GB2312"/>
          <w:sz w:val="32"/>
          <w:szCs w:val="32"/>
        </w:rPr>
        <w:t>⑷单位推荐函；</w:t>
      </w:r>
    </w:p>
    <w:p>
      <w:pPr>
        <w:spacing w:line="600" w:lineRule="exact"/>
        <w:ind w:firstLine="622" w:firstLineChars="200"/>
        <w:rPr>
          <w:rFonts w:ascii="仿宋_GB2312" w:eastAsia="仿宋_GB2312"/>
          <w:sz w:val="32"/>
          <w:szCs w:val="32"/>
        </w:rPr>
      </w:pPr>
      <w:r>
        <w:rPr>
          <w:rFonts w:hint="eastAsia" w:ascii="仿宋" w:hAnsi="仿宋" w:eastAsia="仿宋"/>
          <w:sz w:val="32"/>
          <w:szCs w:val="32"/>
        </w:rPr>
        <w:t>⑸</w:t>
      </w:r>
      <w:r>
        <w:rPr>
          <w:rFonts w:hint="eastAsia" w:ascii="仿宋_GB2312" w:eastAsia="仿宋_GB2312"/>
          <w:sz w:val="32"/>
          <w:szCs w:val="32"/>
        </w:rPr>
        <w:t>与申报项目有关的其他材料。</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2．科技保险专项</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（1）《南昌市科技保险保费补助项目申报书》(根据申报流程在网上进行填写）。</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（2）保险公司出具的正式保单，保费支付凭证及发票。</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3）高新技术企业提供认定证书，科技型中小企业和研发机构提供编号或认定文件；非高新技术企业和科技型中小企业提供关于2021年度高新产品（服务）收入或专利产品收入以及上年度技术研发经费投入的专项审计报告。</w:t>
      </w:r>
    </w:p>
    <w:p>
      <w:pPr>
        <w:spacing w:line="600" w:lineRule="exact"/>
        <w:ind w:firstLine="646" w:firstLineChars="200"/>
        <w:rPr>
          <w:rFonts w:ascii="仿宋_GB2312" w:hAnsi="仿宋" w:eastAsia="仿宋_GB2312"/>
          <w:sz w:val="32"/>
          <w:szCs w:val="32"/>
        </w:rPr>
      </w:pPr>
      <w:r>
        <w:rPr>
          <w:rFonts w:hint="eastAsia" w:ascii="仿宋_GB2312" w:hAnsi="仿宋" w:eastAsia="仿宋_GB2312"/>
          <w:spacing w:val="6"/>
          <w:sz w:val="32"/>
          <w:szCs w:val="32"/>
        </w:rPr>
        <w:t>(4)2021年度企业研发项目情况、企业研发活动及相关情况表。规模以上企业可登录“统计联网直报平台”（http://219.235.129.78/dr/queryLoginInfo.do），</w:t>
      </w:r>
      <w:r>
        <w:rPr>
          <w:rFonts w:hint="eastAsia" w:ascii="仿宋_GB2312" w:hAnsi="仿宋" w:eastAsia="仿宋_GB2312"/>
          <w:sz w:val="32"/>
          <w:szCs w:val="32"/>
        </w:rPr>
        <w:t>直接打印带水印的企业研究开发项目情况（107-1表）、企业研究开发活动及相关情况（107-2表），并加盖本企业公章；其他企业从江西省税务局电子税务局打印研发费用加计扣除明细表（A107012表），加盖本企业公章。不得填报虚假数据，市科技局将对企业进行抽查核实。提供虚假数据的取消该企业三年内申报科技发展专项资金资格。</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以上材料均为必备材料。</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3．科技创新奖励</w:t>
      </w:r>
    </w:p>
    <w:p>
      <w:pPr>
        <w:spacing w:line="600" w:lineRule="exact"/>
        <w:ind w:firstLine="622" w:firstLineChars="200"/>
        <w:rPr>
          <w:rFonts w:ascii="仿宋_GB2312" w:hAnsi="仿宋_GB2312" w:eastAsia="仿宋_GB2312" w:cs="仿宋_GB2312"/>
          <w:sz w:val="32"/>
          <w:szCs w:val="32"/>
        </w:rPr>
      </w:pPr>
      <w:r>
        <w:rPr>
          <w:rFonts w:hint="eastAsia" w:ascii="仿宋_GB2312" w:hAnsi="仿宋" w:eastAsia="仿宋_GB2312"/>
          <w:sz w:val="32"/>
          <w:szCs w:val="32"/>
        </w:rPr>
        <w:t>申报单位为企业的，</w:t>
      </w:r>
      <w:r>
        <w:rPr>
          <w:rFonts w:hint="eastAsia" w:ascii="仿宋_GB2312" w:hAnsi="仿宋" w:eastAsia="仿宋_GB2312"/>
          <w:spacing w:val="6"/>
          <w:sz w:val="32"/>
          <w:szCs w:val="32"/>
        </w:rPr>
        <w:t>规模以上企业可登录“统计联网直报平台”（http://219.235.129.78/dr/queryLoginInfo.do），</w:t>
      </w:r>
      <w:r>
        <w:rPr>
          <w:rFonts w:hint="eastAsia" w:ascii="仿宋_GB2312" w:hAnsi="仿宋" w:eastAsia="仿宋_GB2312"/>
          <w:sz w:val="32"/>
          <w:szCs w:val="32"/>
        </w:rPr>
        <w:t>直接打印带水印的企业研究开发项目情况（107-1表）、企业研究开发活动及相关情况（107-2表），并加盖本企业公章；其他企业从江西省税务局电子税务局打印研发费用加计扣除明细表（A107012表），加盖本企业公章。不得填报虚假数据，市科技局将对企业进行抽查核实。提供虚假数据的取消该企业三年内申报科技发展专项资金资格。</w:t>
      </w:r>
    </w:p>
    <w:tbl>
      <w:tblPr>
        <w:tblStyle w:val="6"/>
        <w:tblW w:w="93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985"/>
        <w:gridCol w:w="851"/>
        <w:gridCol w:w="1275"/>
        <w:gridCol w:w="1560"/>
        <w:gridCol w:w="3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blHeader/>
        </w:trPr>
        <w:tc>
          <w:tcPr>
            <w:tcW w:w="533" w:type="dxa"/>
            <w:vAlign w:val="center"/>
          </w:tcPr>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序号</w:t>
            </w:r>
          </w:p>
        </w:tc>
        <w:tc>
          <w:tcPr>
            <w:tcW w:w="1985" w:type="dxa"/>
            <w:vAlign w:val="center"/>
          </w:tcPr>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政策兑现内容</w:t>
            </w:r>
          </w:p>
        </w:tc>
        <w:tc>
          <w:tcPr>
            <w:tcW w:w="851" w:type="dxa"/>
            <w:vAlign w:val="center"/>
          </w:tcPr>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兑现</w:t>
            </w:r>
          </w:p>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对象</w:t>
            </w:r>
          </w:p>
        </w:tc>
        <w:tc>
          <w:tcPr>
            <w:tcW w:w="1275" w:type="dxa"/>
            <w:vAlign w:val="center"/>
          </w:tcPr>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兑现</w:t>
            </w:r>
          </w:p>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标准</w:t>
            </w:r>
          </w:p>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（万元）</w:t>
            </w:r>
          </w:p>
        </w:tc>
        <w:tc>
          <w:tcPr>
            <w:tcW w:w="1560" w:type="dxa"/>
            <w:tcBorders>
              <w:bottom w:val="single" w:color="auto" w:sz="4" w:space="0"/>
            </w:tcBorders>
            <w:vAlign w:val="center"/>
          </w:tcPr>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相关</w:t>
            </w:r>
          </w:p>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要求</w:t>
            </w:r>
          </w:p>
        </w:tc>
        <w:tc>
          <w:tcPr>
            <w:tcW w:w="3149" w:type="dxa"/>
            <w:vAlign w:val="center"/>
          </w:tcPr>
          <w:p>
            <w:pPr>
              <w:widowControl/>
              <w:spacing w:line="300" w:lineRule="exact"/>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申报材料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1" w:hRule="atLeast"/>
        </w:trPr>
        <w:tc>
          <w:tcPr>
            <w:tcW w:w="533" w:type="dxa"/>
            <w:tcBorders>
              <w:top w:val="single" w:color="auto" w:sz="4" w:space="0"/>
              <w:left w:val="single" w:color="auto" w:sz="4" w:space="0"/>
              <w:bottom w:val="single" w:color="auto" w:sz="4" w:space="0"/>
              <w:right w:val="single" w:color="auto" w:sz="4" w:space="0"/>
            </w:tcBorders>
            <w:vAlign w:val="center"/>
          </w:tcPr>
          <w:p>
            <w:pPr>
              <w:spacing w:line="300" w:lineRule="exac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p>
        </w:tc>
        <w:tc>
          <w:tcPr>
            <w:tcW w:w="1985" w:type="dxa"/>
            <w:tcBorders>
              <w:top w:val="single" w:color="auto" w:sz="4" w:space="0"/>
              <w:left w:val="single" w:color="auto" w:sz="4" w:space="0"/>
              <w:bottom w:val="single" w:color="auto" w:sz="4" w:space="0"/>
              <w:right w:val="single" w:color="auto" w:sz="4" w:space="0"/>
            </w:tcBorders>
            <w:vAlign w:val="center"/>
          </w:tcPr>
          <w:p>
            <w:pPr>
              <w:spacing w:line="300" w:lineRule="exac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省级重点新产品</w:t>
            </w:r>
          </w:p>
        </w:tc>
        <w:tc>
          <w:tcPr>
            <w:tcW w:w="851" w:type="dxa"/>
            <w:tcBorders>
              <w:left w:val="single" w:color="auto" w:sz="4" w:space="0"/>
              <w:right w:val="single" w:color="auto" w:sz="4" w:space="0"/>
            </w:tcBorders>
            <w:vAlign w:val="center"/>
          </w:tcPr>
          <w:p>
            <w:pPr>
              <w:spacing w:line="300" w:lineRule="exac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所有权企业</w:t>
            </w:r>
          </w:p>
        </w:tc>
        <w:tc>
          <w:tcPr>
            <w:tcW w:w="127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c>
          <w:tcPr>
            <w:tcW w:w="1560" w:type="dxa"/>
            <w:tcBorders>
              <w:left w:val="single" w:color="auto" w:sz="4" w:space="0"/>
              <w:right w:val="single" w:color="auto" w:sz="4" w:space="0"/>
            </w:tcBorders>
            <w:vAlign w:val="center"/>
          </w:tcPr>
          <w:p>
            <w:pPr>
              <w:spacing w:line="300" w:lineRule="exac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2021年度通过省科技厅的重点新产品验收</w:t>
            </w:r>
          </w:p>
        </w:tc>
        <w:tc>
          <w:tcPr>
            <w:tcW w:w="3149" w:type="dxa"/>
            <w:tcBorders>
              <w:left w:val="single" w:color="auto" w:sz="4" w:space="0"/>
              <w:right w:val="single" w:color="auto" w:sz="4" w:space="0"/>
            </w:tcBorders>
            <w:vAlign w:val="center"/>
          </w:tcPr>
          <w:p>
            <w:pPr>
              <w:widowControl/>
              <w:spacing w:line="300" w:lineRule="exac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1.申报单位申请报告（加盖单位公章）；</w:t>
            </w:r>
          </w:p>
          <w:p>
            <w:pPr>
              <w:spacing w:line="300" w:lineRule="exac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2.2021年度省级重点新产品验收证书；</w:t>
            </w:r>
          </w:p>
          <w:p>
            <w:pPr>
              <w:widowControl/>
              <w:spacing w:line="300" w:lineRule="exac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3.新产品销售的部分发票（不少于30万元）；</w:t>
            </w:r>
          </w:p>
          <w:p>
            <w:pPr>
              <w:widowControl/>
              <w:spacing w:line="300" w:lineRule="exac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4.2021年度研发投入附件。</w:t>
            </w:r>
          </w:p>
        </w:tc>
      </w:tr>
    </w:tbl>
    <w:p>
      <w:pPr>
        <w:tabs>
          <w:tab w:val="left" w:pos="5376"/>
        </w:tabs>
        <w:spacing w:line="600" w:lineRule="exact"/>
        <w:ind w:firstLine="567"/>
        <w:rPr>
          <w:rFonts w:ascii="楷体_GB2312" w:hAnsi="宋体" w:eastAsia="楷体_GB2312"/>
          <w:b/>
          <w:sz w:val="32"/>
          <w:szCs w:val="32"/>
        </w:rPr>
      </w:pPr>
      <w:r>
        <w:rPr>
          <w:rFonts w:hint="eastAsia" w:ascii="楷体_GB2312" w:hAnsi="宋体" w:eastAsia="楷体_GB2312"/>
          <w:b/>
          <w:sz w:val="32"/>
          <w:szCs w:val="32"/>
        </w:rPr>
        <w:t>（四）支持强度</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1．医疗卫生科技支撑项目</w:t>
      </w:r>
    </w:p>
    <w:p>
      <w:pPr>
        <w:spacing w:line="600" w:lineRule="exact"/>
        <w:ind w:firstLine="622" w:firstLineChars="200"/>
        <w:rPr>
          <w:rFonts w:ascii="仿宋_GB2312" w:eastAsia="仿宋_GB2312"/>
          <w:sz w:val="32"/>
          <w:szCs w:val="32"/>
        </w:rPr>
      </w:pPr>
      <w:r>
        <w:rPr>
          <w:rFonts w:hint="eastAsia" w:ascii="仿宋_GB2312" w:eastAsia="仿宋_GB2312"/>
          <w:sz w:val="32"/>
          <w:szCs w:val="32"/>
        </w:rPr>
        <w:t>重点项目支持10万元，一般项目支持5万元。</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2．科技保险专项</w:t>
      </w:r>
    </w:p>
    <w:p>
      <w:pPr>
        <w:pStyle w:val="5"/>
        <w:widowControl w:val="0"/>
        <w:spacing w:before="0" w:beforeAutospacing="0" w:after="0" w:afterAutospacing="0" w:line="600" w:lineRule="exact"/>
        <w:ind w:firstLine="622" w:firstLineChars="200"/>
        <w:jc w:val="both"/>
        <w:rPr>
          <w:rFonts w:ascii="仿宋_GB2312" w:hAnsi="仿宋" w:eastAsia="仿宋_GB2312"/>
          <w:kern w:val="2"/>
          <w:sz w:val="32"/>
          <w:szCs w:val="32"/>
        </w:rPr>
      </w:pPr>
      <w:r>
        <w:rPr>
          <w:rFonts w:hint="eastAsia" w:ascii="仿宋_GB2312" w:hAnsi="仿宋" w:eastAsia="仿宋_GB2312"/>
          <w:kern w:val="2"/>
          <w:sz w:val="32"/>
          <w:szCs w:val="32"/>
        </w:rPr>
        <w:t>根据不同险种，按实际支付保费的30％-50％的比例补助，单个企业每年最高不超过50万元。采用一次性趸交数年或分期付款方式的保险不给予补贴。</w:t>
      </w:r>
    </w:p>
    <w:p>
      <w:pPr>
        <w:spacing w:line="600" w:lineRule="exact"/>
        <w:ind w:firstLine="622" w:firstLineChars="200"/>
        <w:rPr>
          <w:rFonts w:ascii="仿宋_GB2312" w:hAnsi="仿宋" w:eastAsia="仿宋_GB2312"/>
          <w:b/>
          <w:sz w:val="32"/>
          <w:szCs w:val="32"/>
        </w:rPr>
      </w:pPr>
      <w:r>
        <w:rPr>
          <w:rFonts w:hint="eastAsia" w:ascii="仿宋_GB2312" w:hAnsi="仿宋" w:eastAsia="仿宋_GB2312"/>
          <w:b/>
          <w:sz w:val="32"/>
          <w:szCs w:val="32"/>
        </w:rPr>
        <w:t>3．科技创新奖励</w:t>
      </w:r>
    </w:p>
    <w:p>
      <w:pPr>
        <w:tabs>
          <w:tab w:val="left" w:pos="5376"/>
        </w:tabs>
        <w:spacing w:line="600" w:lineRule="exact"/>
        <w:ind w:firstLine="567"/>
        <w:rPr>
          <w:rFonts w:ascii="仿宋_GB2312" w:hAnsi="仿宋" w:eastAsia="仿宋_GB2312"/>
          <w:sz w:val="32"/>
          <w:szCs w:val="32"/>
        </w:rPr>
      </w:pPr>
      <w:r>
        <w:rPr>
          <w:rFonts w:hint="eastAsia" w:ascii="仿宋_GB2312" w:hAnsi="仿宋" w:eastAsia="仿宋_GB2312"/>
          <w:sz w:val="32"/>
          <w:szCs w:val="32"/>
        </w:rPr>
        <w:t>支持强度：3万元/项。</w:t>
      </w:r>
    </w:p>
    <w:p>
      <w:pPr>
        <w:tabs>
          <w:tab w:val="left" w:pos="5376"/>
        </w:tabs>
        <w:spacing w:line="600" w:lineRule="exact"/>
        <w:ind w:left="567"/>
        <w:rPr>
          <w:rFonts w:ascii="黑体" w:hAnsi="黑体" w:eastAsia="黑体" w:cs="宋体"/>
          <w:bCs/>
          <w:kern w:val="0"/>
          <w:sz w:val="32"/>
          <w:szCs w:val="32"/>
        </w:rPr>
      </w:pPr>
      <w:r>
        <w:rPr>
          <w:rFonts w:hint="eastAsia" w:ascii="黑体" w:hAnsi="黑体" w:eastAsia="黑体" w:cs="宋体"/>
          <w:bCs/>
          <w:kern w:val="0"/>
          <w:sz w:val="32"/>
          <w:szCs w:val="32"/>
        </w:rPr>
        <w:t>二、创新平台计划</w:t>
      </w:r>
    </w:p>
    <w:p>
      <w:pPr>
        <w:tabs>
          <w:tab w:val="left" w:pos="5376"/>
        </w:tabs>
        <w:spacing w:line="600" w:lineRule="exact"/>
        <w:ind w:firstLine="567"/>
        <w:rPr>
          <w:rFonts w:ascii="楷体_GB2312" w:hAnsi="宋体" w:eastAsia="楷体_GB2312"/>
          <w:b/>
          <w:sz w:val="32"/>
          <w:szCs w:val="32"/>
        </w:rPr>
      </w:pPr>
      <w:r>
        <w:rPr>
          <w:rFonts w:hint="eastAsia" w:ascii="楷体_GB2312" w:hAnsi="宋体" w:eastAsia="楷体_GB2312"/>
          <w:b/>
          <w:sz w:val="32"/>
          <w:szCs w:val="32"/>
        </w:rPr>
        <w:t>（一）项目类型</w:t>
      </w:r>
    </w:p>
    <w:p>
      <w:pPr>
        <w:tabs>
          <w:tab w:val="left" w:pos="5376"/>
        </w:tabs>
        <w:spacing w:line="600" w:lineRule="exact"/>
        <w:ind w:firstLine="567"/>
        <w:rPr>
          <w:rFonts w:ascii="仿宋_GB2312" w:hAnsi="仿宋" w:eastAsia="仿宋_GB2312"/>
          <w:sz w:val="32"/>
          <w:szCs w:val="32"/>
        </w:rPr>
      </w:pPr>
      <w:r>
        <w:rPr>
          <w:rFonts w:hint="eastAsia" w:ascii="仿宋_GB2312" w:hAnsi="仿宋" w:eastAsia="仿宋_GB2312"/>
          <w:sz w:val="32"/>
          <w:szCs w:val="32"/>
        </w:rPr>
        <w:t>国家级（省级）重点实验室、技术创新中心补助。</w:t>
      </w:r>
    </w:p>
    <w:p>
      <w:pPr>
        <w:tabs>
          <w:tab w:val="left" w:pos="5376"/>
        </w:tabs>
        <w:spacing w:line="600" w:lineRule="exact"/>
        <w:ind w:firstLine="567"/>
        <w:rPr>
          <w:rFonts w:ascii="楷体_GB2312" w:hAnsi="宋体" w:eastAsia="楷体_GB2312"/>
          <w:b/>
          <w:sz w:val="32"/>
          <w:szCs w:val="32"/>
        </w:rPr>
      </w:pPr>
      <w:r>
        <w:rPr>
          <w:rFonts w:hint="eastAsia" w:ascii="楷体_GB2312" w:hAnsi="宋体" w:eastAsia="楷体_GB2312"/>
          <w:b/>
          <w:sz w:val="32"/>
          <w:szCs w:val="32"/>
        </w:rPr>
        <w:t>（二）申报条件</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1.2021年新认定的国家级重点实验室和技术创新中心；</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2.2021年由南昌市科技局推荐获批的省级重点实验室和技术创新中心。</w:t>
      </w:r>
    </w:p>
    <w:p>
      <w:pPr>
        <w:tabs>
          <w:tab w:val="left" w:pos="5376"/>
        </w:tabs>
        <w:spacing w:line="600" w:lineRule="exact"/>
        <w:ind w:firstLine="567"/>
        <w:rPr>
          <w:rFonts w:ascii="楷体_GB2312" w:hAnsi="宋体" w:eastAsia="楷体_GB2312"/>
          <w:b/>
          <w:sz w:val="32"/>
          <w:szCs w:val="32"/>
        </w:rPr>
      </w:pPr>
      <w:r>
        <w:rPr>
          <w:rFonts w:hint="eastAsia" w:ascii="楷体_GB2312" w:hAnsi="宋体" w:eastAsia="楷体_GB2312"/>
          <w:b/>
          <w:sz w:val="32"/>
          <w:szCs w:val="32"/>
        </w:rPr>
        <w:t>（三）申报材料</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①国家级（省级）科技创新平台奖励申请表（加盖单位公章）。</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②国家科技部或省科技厅2021年有关批文。</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③国家级（省级）重点实验室（技术创新中心）运行情况报告。</w:t>
      </w:r>
    </w:p>
    <w:p>
      <w:pPr>
        <w:spacing w:line="600" w:lineRule="exact"/>
        <w:ind w:firstLine="610" w:firstLineChars="196"/>
        <w:rPr>
          <w:rFonts w:ascii="仿宋_GB2312" w:hAnsi="仿宋_GB2312" w:eastAsia="仿宋_GB2312" w:cs="仿宋_GB2312"/>
          <w:sz w:val="32"/>
          <w:szCs w:val="32"/>
        </w:rPr>
      </w:pPr>
      <w:r>
        <w:rPr>
          <w:rFonts w:hint="eastAsia" w:ascii="仿宋_GB2312" w:hAnsi="仿宋" w:eastAsia="仿宋_GB2312"/>
          <w:sz w:val="32"/>
          <w:szCs w:val="32"/>
        </w:rPr>
        <w:t>④申报单位为企业的，须提供2021年度研发投入证明材料。申报单位为企业的，</w:t>
      </w:r>
      <w:r>
        <w:rPr>
          <w:rFonts w:hint="eastAsia" w:ascii="仿宋_GB2312" w:hAnsi="仿宋" w:eastAsia="仿宋_GB2312"/>
          <w:spacing w:val="6"/>
          <w:sz w:val="32"/>
          <w:szCs w:val="32"/>
        </w:rPr>
        <w:t>规模以上企业可登录“统计联网直报平台”（http://219.235.129.78/dr/queryLoginInfo.do），</w:t>
      </w:r>
      <w:r>
        <w:rPr>
          <w:rFonts w:hint="eastAsia" w:ascii="仿宋_GB2312" w:hAnsi="仿宋" w:eastAsia="仿宋_GB2312"/>
          <w:sz w:val="32"/>
          <w:szCs w:val="32"/>
        </w:rPr>
        <w:t>直接打印带水印的企业研究开发项目情况（107-1表）、企业研究开发活动及相关情况（107-2表），并加盖本企业公章；其他企业从江西省税务局电子税务局打印研发费用加计扣除明细表（A107012表），加盖本企业公章。不得填报虚假数据，市科技局将对企业进行抽查核实。提供虚假数据的取消该企业三年内申报科技发展专项资金资格。</w:t>
      </w:r>
    </w:p>
    <w:p>
      <w:pPr>
        <w:spacing w:line="600" w:lineRule="exact"/>
        <w:ind w:firstLine="622" w:firstLineChars="200"/>
        <w:jc w:val="left"/>
        <w:rPr>
          <w:rFonts w:ascii="楷体_GB2312" w:hAnsi="宋体" w:eastAsia="楷体_GB2312"/>
          <w:b/>
          <w:sz w:val="32"/>
          <w:szCs w:val="32"/>
        </w:rPr>
      </w:pPr>
      <w:r>
        <w:rPr>
          <w:rFonts w:hint="eastAsia" w:ascii="楷体_GB2312" w:hAnsi="宋体" w:eastAsia="楷体_GB2312"/>
          <w:b/>
          <w:sz w:val="32"/>
          <w:szCs w:val="32"/>
        </w:rPr>
        <w:t>（四）支持强度</w:t>
      </w:r>
    </w:p>
    <w:p>
      <w:pPr>
        <w:tabs>
          <w:tab w:val="left" w:pos="5376"/>
        </w:tabs>
        <w:spacing w:line="600" w:lineRule="exact"/>
        <w:ind w:firstLine="567"/>
        <w:rPr>
          <w:rFonts w:ascii="仿宋_GB2312" w:hAnsi="仿宋" w:eastAsia="仿宋_GB2312"/>
          <w:sz w:val="32"/>
          <w:szCs w:val="32"/>
        </w:rPr>
      </w:pPr>
      <w:r>
        <w:rPr>
          <w:rFonts w:hint="eastAsia" w:ascii="仿宋_GB2312" w:hAnsi="仿宋" w:eastAsia="仿宋_GB2312"/>
          <w:sz w:val="32"/>
          <w:szCs w:val="32"/>
        </w:rPr>
        <w:t>支持强度：国家级重点实验室、技术创新中心500万元/家，省级重点实验室、技术创新中心50万元/家。</w:t>
      </w:r>
    </w:p>
    <w:p>
      <w:pPr>
        <w:spacing w:line="600" w:lineRule="exact"/>
        <w:ind w:firstLine="62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说明：</w:t>
      </w:r>
    </w:p>
    <w:p>
      <w:pPr>
        <w:spacing w:line="600" w:lineRule="exact"/>
        <w:ind w:firstLine="622"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①对同时获得国家级、省级平台项目的，按最高奖补标准给予补助。</w:t>
      </w:r>
    </w:p>
    <w:p>
      <w:pPr>
        <w:spacing w:line="600" w:lineRule="exact"/>
        <w:ind w:firstLine="622"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②对曾获得过市级研发平台补助的单位，在市级研发平台补助的基础上进行差额补助。</w:t>
      </w:r>
    </w:p>
    <w:p>
      <w:pPr>
        <w:spacing w:line="600" w:lineRule="exact"/>
        <w:ind w:firstLine="622"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③对已获得其他同级别的市级平台补助的依托单位，不再重复补助。</w:t>
      </w:r>
    </w:p>
    <w:p>
      <w:pPr>
        <w:tabs>
          <w:tab w:val="left" w:pos="5376"/>
        </w:tabs>
        <w:spacing w:line="600" w:lineRule="exact"/>
        <w:ind w:left="567"/>
        <w:rPr>
          <w:rFonts w:ascii="黑体" w:hAnsi="黑体" w:eastAsia="黑体" w:cs="宋体"/>
          <w:bCs/>
          <w:kern w:val="0"/>
          <w:sz w:val="32"/>
          <w:szCs w:val="32"/>
        </w:rPr>
      </w:pPr>
      <w:r>
        <w:rPr>
          <w:rFonts w:hint="eastAsia" w:ascii="黑体" w:hAnsi="黑体" w:eastAsia="黑体" w:cs="宋体"/>
          <w:bCs/>
          <w:kern w:val="0"/>
          <w:sz w:val="32"/>
          <w:szCs w:val="32"/>
        </w:rPr>
        <w:t>三、科技人才计划</w:t>
      </w:r>
    </w:p>
    <w:p>
      <w:pPr>
        <w:spacing w:line="600" w:lineRule="exact"/>
        <w:ind w:firstLine="622" w:firstLineChars="200"/>
        <w:rPr>
          <w:rFonts w:ascii="楷体_GB2312" w:hAnsi="宋体" w:eastAsia="楷体_GB2312"/>
          <w:b/>
          <w:sz w:val="32"/>
          <w:szCs w:val="32"/>
        </w:rPr>
      </w:pPr>
      <w:r>
        <w:rPr>
          <w:rFonts w:hint="eastAsia" w:ascii="楷体_GB2312" w:hAnsi="宋体" w:eastAsia="楷体_GB2312"/>
          <w:b/>
          <w:sz w:val="32"/>
          <w:szCs w:val="32"/>
        </w:rPr>
        <w:t>（一）项目类型</w:t>
      </w:r>
    </w:p>
    <w:p>
      <w:pPr>
        <w:spacing w:line="600" w:lineRule="exact"/>
        <w:ind w:firstLine="622" w:firstLineChars="200"/>
        <w:rPr>
          <w:rFonts w:ascii="仿宋" w:hAnsi="仿宋" w:eastAsia="仿宋"/>
          <w:sz w:val="32"/>
          <w:szCs w:val="32"/>
        </w:rPr>
      </w:pPr>
      <w:r>
        <w:rPr>
          <w:rFonts w:hint="eastAsia" w:ascii="仿宋" w:hAnsi="仿宋" w:eastAsia="仿宋"/>
          <w:sz w:val="32"/>
          <w:szCs w:val="32"/>
        </w:rPr>
        <w:t>包括“双百计划”创新人才（引进类）、“双百计划”创新团队（引进类）、“双百计划”创新人才（培养类）、“双百计划”创新团队（培养类）四个类别。</w:t>
      </w:r>
    </w:p>
    <w:p>
      <w:pPr>
        <w:spacing w:line="600" w:lineRule="exact"/>
        <w:ind w:firstLine="622" w:firstLineChars="200"/>
        <w:rPr>
          <w:rFonts w:ascii="楷体_GB2312" w:hAnsi="宋体" w:eastAsia="楷体_GB2312"/>
          <w:b/>
          <w:sz w:val="32"/>
          <w:szCs w:val="32"/>
        </w:rPr>
      </w:pPr>
      <w:r>
        <w:rPr>
          <w:rFonts w:hint="eastAsia" w:ascii="楷体_GB2312" w:hAnsi="宋体" w:eastAsia="楷体_GB2312"/>
          <w:b/>
          <w:sz w:val="32"/>
          <w:szCs w:val="32"/>
        </w:rPr>
        <w:t>（二）申报对象</w:t>
      </w:r>
    </w:p>
    <w:p>
      <w:pPr>
        <w:spacing w:line="600" w:lineRule="exact"/>
        <w:ind w:firstLine="622" w:firstLineChars="200"/>
        <w:rPr>
          <w:rFonts w:ascii="仿宋" w:hAnsi="仿宋" w:eastAsia="仿宋"/>
          <w:sz w:val="32"/>
          <w:szCs w:val="32"/>
        </w:rPr>
      </w:pPr>
      <w:r>
        <w:rPr>
          <w:rFonts w:hint="eastAsia" w:ascii="仿宋" w:hAnsi="仿宋" w:eastAsia="仿宋"/>
          <w:sz w:val="32"/>
          <w:szCs w:val="32"/>
        </w:rPr>
        <w:t>南昌市注册登记一年以上，具有独立法人资格的市属企事业单位。</w:t>
      </w:r>
    </w:p>
    <w:p>
      <w:pPr>
        <w:spacing w:line="600" w:lineRule="exact"/>
        <w:ind w:firstLine="622" w:firstLineChars="200"/>
        <w:rPr>
          <w:rFonts w:ascii="楷体_GB2312" w:hAnsi="宋体" w:eastAsia="楷体_GB2312"/>
          <w:b/>
          <w:sz w:val="32"/>
          <w:szCs w:val="32"/>
        </w:rPr>
      </w:pPr>
      <w:r>
        <w:rPr>
          <w:rFonts w:hint="eastAsia" w:ascii="楷体_GB2312" w:hAnsi="宋体" w:eastAsia="楷体_GB2312"/>
          <w:b/>
          <w:sz w:val="32"/>
          <w:szCs w:val="32"/>
        </w:rPr>
        <w:t>（三）申报条件</w:t>
      </w:r>
    </w:p>
    <w:p>
      <w:pPr>
        <w:pStyle w:val="8"/>
        <w:spacing w:line="600" w:lineRule="exact"/>
        <w:ind w:left="317" w:leftChars="158" w:firstLine="311" w:firstLineChars="100"/>
        <w:rPr>
          <w:rFonts w:ascii="仿宋_GB2312" w:hAnsi="仿宋" w:eastAsia="仿宋_GB2312"/>
          <w:b/>
          <w:sz w:val="32"/>
          <w:szCs w:val="32"/>
        </w:rPr>
      </w:pPr>
      <w:r>
        <w:rPr>
          <w:rFonts w:hint="eastAsia" w:ascii="仿宋" w:hAnsi="仿宋" w:eastAsia="仿宋"/>
          <w:b/>
          <w:sz w:val="32"/>
          <w:szCs w:val="32"/>
        </w:rPr>
        <w:t>▉</w:t>
      </w:r>
      <w:r>
        <w:rPr>
          <w:rFonts w:hint="eastAsia" w:ascii="仿宋_GB2312" w:hAnsi="仿宋" w:eastAsia="仿宋_GB2312"/>
          <w:b/>
          <w:sz w:val="32"/>
          <w:szCs w:val="32"/>
        </w:rPr>
        <w:t>引进类与培养类项目均应具备以下条件：</w:t>
      </w:r>
    </w:p>
    <w:p>
      <w:pPr>
        <w:spacing w:line="600" w:lineRule="exact"/>
        <w:ind w:firstLine="645"/>
        <w:rPr>
          <w:rFonts w:ascii="仿宋_GB2312" w:hAnsi="仿宋" w:eastAsia="仿宋_GB2312"/>
          <w:sz w:val="32"/>
          <w:szCs w:val="32"/>
        </w:rPr>
      </w:pPr>
      <w:r>
        <w:rPr>
          <w:rFonts w:hint="eastAsia" w:ascii="仿宋" w:hAnsi="仿宋" w:eastAsia="仿宋"/>
          <w:sz w:val="32"/>
          <w:szCs w:val="32"/>
        </w:rPr>
        <w:t>①</w:t>
      </w:r>
      <w:r>
        <w:rPr>
          <w:rFonts w:hint="eastAsia" w:ascii="仿宋_GB2312" w:hAnsi="仿宋" w:eastAsia="仿宋_GB2312"/>
          <w:sz w:val="32"/>
          <w:szCs w:val="32"/>
        </w:rPr>
        <w:t>属于用人单位开展技术攻关和成果转化的项目；</w:t>
      </w:r>
    </w:p>
    <w:p>
      <w:pPr>
        <w:spacing w:line="600" w:lineRule="exact"/>
        <w:ind w:firstLine="645"/>
        <w:rPr>
          <w:rFonts w:ascii="仿宋_GB2312" w:hAnsi="仿宋" w:eastAsia="仿宋_GB2312"/>
          <w:sz w:val="32"/>
          <w:szCs w:val="32"/>
        </w:rPr>
      </w:pPr>
      <w:r>
        <w:rPr>
          <w:rFonts w:hint="eastAsia" w:ascii="仿宋" w:hAnsi="仿宋" w:eastAsia="仿宋"/>
          <w:sz w:val="32"/>
          <w:szCs w:val="32"/>
        </w:rPr>
        <w:t>②</w:t>
      </w:r>
      <w:r>
        <w:rPr>
          <w:rFonts w:hint="eastAsia" w:ascii="仿宋_GB2312" w:hAnsi="仿宋" w:eastAsia="仿宋_GB2312"/>
          <w:sz w:val="32"/>
          <w:szCs w:val="32"/>
        </w:rPr>
        <w:t>项目有完整的可行性研究报告和具体的实施方案；</w:t>
      </w:r>
    </w:p>
    <w:p>
      <w:pPr>
        <w:spacing w:line="600" w:lineRule="exact"/>
        <w:ind w:firstLine="645"/>
        <w:rPr>
          <w:rFonts w:ascii="仿宋_GB2312" w:hAnsi="仿宋" w:eastAsia="仿宋_GB2312"/>
          <w:sz w:val="32"/>
          <w:szCs w:val="32"/>
        </w:rPr>
      </w:pPr>
      <w:r>
        <w:rPr>
          <w:rFonts w:hint="eastAsia" w:ascii="仿宋" w:hAnsi="仿宋" w:eastAsia="仿宋"/>
          <w:sz w:val="32"/>
          <w:szCs w:val="32"/>
        </w:rPr>
        <w:t>③</w:t>
      </w:r>
      <w:r>
        <w:rPr>
          <w:rFonts w:hint="eastAsia" w:ascii="仿宋_GB2312" w:hAnsi="仿宋" w:eastAsia="仿宋_GB2312"/>
          <w:sz w:val="32"/>
          <w:szCs w:val="32"/>
        </w:rPr>
        <w:t>项目具有经技术合同登记的科技合作协议，明确双方权利、义务和知识产权归属等；</w:t>
      </w:r>
    </w:p>
    <w:p>
      <w:pPr>
        <w:spacing w:line="600" w:lineRule="exact"/>
        <w:ind w:firstLine="645"/>
        <w:rPr>
          <w:rFonts w:ascii="仿宋_GB2312" w:hAnsi="仿宋" w:eastAsia="仿宋_GB2312"/>
          <w:sz w:val="32"/>
          <w:szCs w:val="32"/>
        </w:rPr>
      </w:pPr>
      <w:r>
        <w:rPr>
          <w:rFonts w:hint="eastAsia" w:ascii="仿宋" w:hAnsi="仿宋" w:eastAsia="仿宋"/>
          <w:sz w:val="32"/>
          <w:szCs w:val="32"/>
        </w:rPr>
        <w:t>④</w:t>
      </w:r>
      <w:r>
        <w:rPr>
          <w:rFonts w:hint="eastAsia" w:ascii="仿宋_GB2312" w:hAnsi="仿宋" w:eastAsia="仿宋_GB2312"/>
          <w:sz w:val="32"/>
          <w:szCs w:val="32"/>
        </w:rPr>
        <w:t>项目依托单位为企业的，其上年度研发经费投入占销售收入比重不低于3%；</w:t>
      </w:r>
    </w:p>
    <w:p>
      <w:pPr>
        <w:spacing w:line="600" w:lineRule="exact"/>
        <w:ind w:firstLine="645"/>
        <w:rPr>
          <w:rFonts w:ascii="仿宋_GB2312" w:hAnsi="仿宋" w:eastAsia="仿宋_GB2312"/>
          <w:sz w:val="32"/>
          <w:szCs w:val="32"/>
        </w:rPr>
      </w:pPr>
      <w:r>
        <w:rPr>
          <w:rFonts w:hint="eastAsia" w:ascii="仿宋" w:hAnsi="仿宋" w:eastAsia="仿宋"/>
          <w:sz w:val="32"/>
          <w:szCs w:val="32"/>
        </w:rPr>
        <w:t>⑤</w:t>
      </w:r>
      <w:r>
        <w:rPr>
          <w:rFonts w:hint="eastAsia" w:ascii="仿宋_GB2312" w:hAnsi="仿宋" w:eastAsia="仿宋_GB2312"/>
          <w:sz w:val="32"/>
          <w:szCs w:val="32"/>
        </w:rPr>
        <w:t>前期已投入项目研发、人才培养、设备购置等经费不低于该项目申请资助金额的两倍;</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⑥申请人拟开展科研项目内容不得与其他市级科技计划项目相同或相近，不得重复、多头申报；</w:t>
      </w:r>
    </w:p>
    <w:p>
      <w:pPr>
        <w:spacing w:line="600" w:lineRule="exact"/>
        <w:ind w:firstLine="622" w:firstLineChars="200"/>
        <w:rPr>
          <w:rFonts w:ascii="仿宋_GB2312" w:hAnsi="仿宋_GB2312" w:eastAsia="仿宋_GB2312" w:cs="仿宋_GB2312"/>
          <w:sz w:val="32"/>
          <w:szCs w:val="32"/>
        </w:rPr>
      </w:pPr>
      <w:r>
        <w:rPr>
          <w:rFonts w:hint="eastAsia" w:ascii="微软雅黑" w:hAnsi="微软雅黑" w:eastAsia="微软雅黑" w:cs="仿宋_GB2312"/>
          <w:sz w:val="32"/>
          <w:szCs w:val="32"/>
        </w:rPr>
        <w:t>⑦</w:t>
      </w:r>
      <w:r>
        <w:rPr>
          <w:rFonts w:hint="eastAsia" w:ascii="仿宋_GB2312" w:hAnsi="仿宋_GB2312" w:eastAsia="仿宋_GB2312" w:cs="仿宋_GB2312"/>
          <w:sz w:val="32"/>
          <w:szCs w:val="32"/>
        </w:rPr>
        <w:t>同一申报单位年度申报“双百计划”项目不超过三个。</w:t>
      </w:r>
    </w:p>
    <w:p>
      <w:pPr>
        <w:spacing w:line="600" w:lineRule="exact"/>
        <w:ind w:firstLine="622" w:firstLineChars="200"/>
        <w:rPr>
          <w:rFonts w:ascii="仿宋_GB2312" w:hAnsi="仿宋" w:eastAsia="仿宋_GB2312"/>
          <w:b/>
          <w:sz w:val="32"/>
          <w:szCs w:val="32"/>
        </w:rPr>
      </w:pPr>
      <w:r>
        <w:rPr>
          <w:rFonts w:hint="eastAsia" w:ascii="仿宋" w:hAnsi="仿宋" w:eastAsia="仿宋"/>
          <w:b/>
          <w:sz w:val="32"/>
          <w:szCs w:val="32"/>
        </w:rPr>
        <w:t>▉</w:t>
      </w:r>
      <w:r>
        <w:rPr>
          <w:rFonts w:hint="eastAsia" w:ascii="仿宋_GB2312" w:hAnsi="仿宋" w:eastAsia="仿宋_GB2312"/>
          <w:b/>
          <w:sz w:val="32"/>
          <w:szCs w:val="32"/>
        </w:rPr>
        <w:t>引进类项目申请人（含团队负责人，下同）的条件：</w:t>
      </w:r>
    </w:p>
    <w:p>
      <w:pPr>
        <w:spacing w:line="600" w:lineRule="exact"/>
        <w:ind w:firstLine="660"/>
        <w:rPr>
          <w:rFonts w:ascii="仿宋_GB2312" w:hAnsi="仿宋" w:eastAsia="仿宋_GB2312"/>
          <w:sz w:val="32"/>
          <w:szCs w:val="32"/>
        </w:rPr>
      </w:pPr>
      <w:r>
        <w:rPr>
          <w:rFonts w:hint="eastAsia" w:ascii="仿宋" w:hAnsi="仿宋" w:eastAsia="仿宋"/>
          <w:sz w:val="32"/>
          <w:szCs w:val="32"/>
        </w:rPr>
        <w:t>①</w:t>
      </w:r>
      <w:r>
        <w:rPr>
          <w:rFonts w:hint="eastAsia" w:ascii="仿宋_GB2312" w:hAnsi="仿宋" w:eastAsia="仿宋_GB2312"/>
          <w:sz w:val="32"/>
          <w:szCs w:val="32"/>
        </w:rPr>
        <w:t>具备博士学位或高级职称（团队其他成员应具备硕士以上学位）；</w:t>
      </w:r>
    </w:p>
    <w:p>
      <w:pPr>
        <w:spacing w:line="600" w:lineRule="exact"/>
        <w:ind w:firstLine="660"/>
        <w:rPr>
          <w:rFonts w:ascii="仿宋_GB2312" w:hAnsi="仿宋" w:eastAsia="仿宋_GB2312"/>
          <w:sz w:val="32"/>
          <w:szCs w:val="32"/>
        </w:rPr>
      </w:pPr>
      <w:r>
        <w:rPr>
          <w:rFonts w:hint="eastAsia" w:ascii="仿宋" w:hAnsi="仿宋" w:eastAsia="仿宋"/>
          <w:sz w:val="32"/>
          <w:szCs w:val="32"/>
        </w:rPr>
        <w:t>②</w:t>
      </w:r>
      <w:r>
        <w:rPr>
          <w:rFonts w:hint="eastAsia" w:ascii="仿宋_GB2312" w:hAnsi="仿宋" w:eastAsia="仿宋_GB2312"/>
          <w:sz w:val="32"/>
          <w:szCs w:val="32"/>
        </w:rPr>
        <w:t>申报项目之日前1年未在昌工作，引进后须与用人单位签订2年以上的工作协议，在昌工作时间每年不少于2个月；</w:t>
      </w:r>
    </w:p>
    <w:p>
      <w:pPr>
        <w:spacing w:line="600" w:lineRule="exact"/>
        <w:ind w:firstLine="645"/>
        <w:rPr>
          <w:rFonts w:ascii="仿宋_GB2312" w:hAnsi="仿宋" w:eastAsia="仿宋_GB2312"/>
          <w:sz w:val="32"/>
          <w:szCs w:val="32"/>
        </w:rPr>
      </w:pPr>
      <w:r>
        <w:rPr>
          <w:rFonts w:hint="eastAsia" w:ascii="仿宋" w:hAnsi="仿宋" w:eastAsia="仿宋"/>
          <w:sz w:val="32"/>
          <w:szCs w:val="32"/>
        </w:rPr>
        <w:t>③</w:t>
      </w:r>
      <w:r>
        <w:rPr>
          <w:rFonts w:hint="eastAsia" w:ascii="仿宋_GB2312" w:hAnsi="仿宋" w:eastAsia="仿宋_GB2312"/>
          <w:sz w:val="32"/>
          <w:szCs w:val="32"/>
        </w:rPr>
        <w:t>年龄不超过55周岁；</w:t>
      </w:r>
    </w:p>
    <w:p>
      <w:pPr>
        <w:spacing w:line="600" w:lineRule="exact"/>
        <w:ind w:firstLine="645"/>
        <w:rPr>
          <w:rFonts w:ascii="仿宋_GB2312" w:hAnsi="仿宋" w:eastAsia="仿宋_GB2312"/>
          <w:sz w:val="32"/>
          <w:szCs w:val="32"/>
        </w:rPr>
      </w:pPr>
      <w:r>
        <w:rPr>
          <w:rFonts w:hint="eastAsia" w:ascii="仿宋" w:hAnsi="仿宋" w:eastAsia="仿宋"/>
          <w:sz w:val="32"/>
          <w:szCs w:val="32"/>
        </w:rPr>
        <w:t>④</w:t>
      </w:r>
      <w:r>
        <w:rPr>
          <w:rFonts w:hint="eastAsia" w:ascii="仿宋_GB2312" w:hAnsi="仿宋" w:eastAsia="仿宋_GB2312"/>
          <w:sz w:val="32"/>
          <w:szCs w:val="32"/>
        </w:rPr>
        <w:t>除具备上述基本条件外还须符合下列条件之一：</w:t>
      </w:r>
    </w:p>
    <w:p>
      <w:pPr>
        <w:spacing w:line="600" w:lineRule="exact"/>
        <w:ind w:firstLine="645"/>
        <w:rPr>
          <w:rFonts w:ascii="仿宋_GB2312" w:hAnsi="仿宋" w:eastAsia="仿宋_GB2312"/>
          <w:sz w:val="32"/>
          <w:szCs w:val="32"/>
        </w:rPr>
      </w:pPr>
      <w:r>
        <w:rPr>
          <w:rFonts w:hint="eastAsia" w:ascii="仿宋_GB2312" w:hAnsi="仿宋" w:eastAsia="仿宋_GB2312"/>
          <w:sz w:val="32"/>
          <w:szCs w:val="32"/>
        </w:rPr>
        <w:t>（1）中国科学院院士、中国工程院院士；国际知名科学技术奖项获得者，包括诺贝尔奖、图灵奖、菲尔兹奖、普利兹克奖、美国国家科学奖章、法国全国科研中心科研奖章、英国皇家金质奖章获得者等国内外顶尖人才；</w:t>
      </w:r>
    </w:p>
    <w:p>
      <w:pPr>
        <w:spacing w:line="600" w:lineRule="exact"/>
        <w:ind w:firstLine="645"/>
        <w:rPr>
          <w:rFonts w:ascii="仿宋_GB2312" w:hAnsi="仿宋" w:eastAsia="仿宋_GB2312"/>
          <w:sz w:val="32"/>
          <w:szCs w:val="32"/>
        </w:rPr>
      </w:pPr>
      <w:r>
        <w:rPr>
          <w:rFonts w:hint="eastAsia" w:ascii="仿宋_GB2312" w:hAnsi="仿宋" w:eastAsia="仿宋_GB2312"/>
          <w:sz w:val="32"/>
          <w:szCs w:val="32"/>
        </w:rPr>
        <w:t>（2）属于国家重大人才计划、百千万人才工程人选、“长江学者”特聘教授、国务院特殊津贴专家等国内外领军人才；</w:t>
      </w:r>
    </w:p>
    <w:p>
      <w:pPr>
        <w:spacing w:line="600" w:lineRule="exact"/>
        <w:ind w:firstLine="660"/>
        <w:rPr>
          <w:rFonts w:ascii="仿宋_GB2312" w:hAnsi="仿宋" w:eastAsia="仿宋_GB2312"/>
          <w:sz w:val="32"/>
          <w:szCs w:val="32"/>
        </w:rPr>
      </w:pPr>
      <w:r>
        <w:rPr>
          <w:rFonts w:hint="eastAsia" w:ascii="仿宋_GB2312" w:hAnsi="仿宋" w:eastAsia="仿宋_GB2312"/>
          <w:sz w:val="32"/>
          <w:szCs w:val="32"/>
        </w:rPr>
        <w:t>（3）在国内985或211高校、国（境）外高校、省（部）属科研院所、医疗卫生机构担任教授、研究员、首席科学家或相当职务的专家学者；</w:t>
      </w:r>
    </w:p>
    <w:p>
      <w:pPr>
        <w:pStyle w:val="8"/>
        <w:spacing w:line="600" w:lineRule="exact"/>
        <w:ind w:firstLine="622"/>
        <w:rPr>
          <w:rFonts w:ascii="仿宋_GB2312" w:hAnsi="仿宋" w:eastAsia="仿宋_GB2312"/>
          <w:sz w:val="32"/>
          <w:szCs w:val="32"/>
        </w:rPr>
      </w:pPr>
      <w:r>
        <w:rPr>
          <w:rFonts w:hint="eastAsia" w:ascii="仿宋_GB2312" w:hAnsi="仿宋" w:eastAsia="仿宋_GB2312"/>
          <w:sz w:val="32"/>
          <w:szCs w:val="32"/>
        </w:rPr>
        <w:t>（4）在世界500强企业担任中高级职务的专业技术人才。</w:t>
      </w:r>
    </w:p>
    <w:p>
      <w:pPr>
        <w:pStyle w:val="8"/>
        <w:spacing w:line="600" w:lineRule="exact"/>
        <w:ind w:left="317" w:leftChars="158" w:firstLine="311" w:firstLineChars="100"/>
        <w:rPr>
          <w:rFonts w:ascii="仿宋_GB2312" w:hAnsi="仿宋" w:eastAsia="仿宋_GB2312"/>
          <w:b/>
          <w:sz w:val="32"/>
          <w:szCs w:val="32"/>
        </w:rPr>
      </w:pPr>
      <w:r>
        <w:rPr>
          <w:rFonts w:hint="eastAsia" w:ascii="仿宋" w:hAnsi="仿宋" w:eastAsia="仿宋"/>
          <w:b/>
          <w:sz w:val="32"/>
          <w:szCs w:val="32"/>
        </w:rPr>
        <w:t>▉</w:t>
      </w:r>
      <w:r>
        <w:rPr>
          <w:rFonts w:hint="eastAsia" w:ascii="仿宋_GB2312" w:hAnsi="仿宋" w:eastAsia="仿宋_GB2312"/>
          <w:b/>
          <w:sz w:val="32"/>
          <w:szCs w:val="32"/>
        </w:rPr>
        <w:t>培养类个人项目申请人的条件：</w:t>
      </w:r>
    </w:p>
    <w:p>
      <w:pPr>
        <w:spacing w:line="600" w:lineRule="exact"/>
        <w:ind w:firstLine="645"/>
        <w:rPr>
          <w:rFonts w:ascii="仿宋_GB2312" w:hAnsi="仿宋" w:eastAsia="仿宋_GB2312"/>
          <w:sz w:val="32"/>
          <w:szCs w:val="32"/>
        </w:rPr>
      </w:pPr>
      <w:r>
        <w:rPr>
          <w:rFonts w:hint="eastAsia" w:ascii="仿宋" w:hAnsi="仿宋" w:eastAsia="仿宋"/>
          <w:sz w:val="32"/>
          <w:szCs w:val="32"/>
        </w:rPr>
        <w:t>①</w:t>
      </w:r>
      <w:r>
        <w:rPr>
          <w:rFonts w:hint="eastAsia" w:ascii="仿宋_GB2312" w:hAnsi="仿宋" w:eastAsia="仿宋_GB2312"/>
          <w:sz w:val="32"/>
          <w:szCs w:val="32"/>
        </w:rPr>
        <w:t>具备博士学位或高级职称；</w:t>
      </w:r>
    </w:p>
    <w:p>
      <w:pPr>
        <w:spacing w:line="600" w:lineRule="exact"/>
        <w:ind w:firstLine="645"/>
        <w:rPr>
          <w:rFonts w:ascii="仿宋_GB2312" w:hAnsi="仿宋" w:eastAsia="仿宋_GB2312"/>
          <w:sz w:val="32"/>
          <w:szCs w:val="32"/>
        </w:rPr>
      </w:pPr>
      <w:r>
        <w:rPr>
          <w:rFonts w:hint="eastAsia" w:ascii="仿宋" w:hAnsi="仿宋" w:eastAsia="仿宋"/>
          <w:sz w:val="32"/>
          <w:szCs w:val="32"/>
        </w:rPr>
        <w:t>②</w:t>
      </w:r>
      <w:r>
        <w:rPr>
          <w:rFonts w:hint="eastAsia" w:ascii="仿宋_GB2312" w:hAnsi="仿宋" w:eastAsia="仿宋_GB2312"/>
          <w:sz w:val="32"/>
          <w:szCs w:val="32"/>
        </w:rPr>
        <w:t>年龄不超过50周岁；</w:t>
      </w:r>
    </w:p>
    <w:p>
      <w:pPr>
        <w:spacing w:line="600" w:lineRule="exact"/>
        <w:ind w:firstLine="645"/>
        <w:rPr>
          <w:rFonts w:ascii="仿宋_GB2312" w:hAnsi="仿宋" w:eastAsia="仿宋_GB2312"/>
          <w:sz w:val="32"/>
          <w:szCs w:val="32"/>
        </w:rPr>
      </w:pPr>
      <w:r>
        <w:rPr>
          <w:rFonts w:hint="eastAsia" w:ascii="仿宋" w:hAnsi="仿宋" w:eastAsia="仿宋"/>
          <w:sz w:val="32"/>
          <w:szCs w:val="32"/>
        </w:rPr>
        <w:t>③</w:t>
      </w:r>
      <w:r>
        <w:rPr>
          <w:rFonts w:hint="eastAsia" w:ascii="仿宋_GB2312" w:hAnsi="仿宋" w:eastAsia="仿宋_GB2312"/>
          <w:sz w:val="32"/>
          <w:szCs w:val="32"/>
        </w:rPr>
        <w:t>申报项目时已连续在昌工作2年以上，入选后必须为用人单位服务不少于2年；</w:t>
      </w:r>
      <w:bookmarkStart w:id="0" w:name="_GoBack"/>
      <w:bookmarkEnd w:id="0"/>
    </w:p>
    <w:p>
      <w:pPr>
        <w:spacing w:line="600" w:lineRule="exact"/>
        <w:ind w:firstLine="660"/>
        <w:rPr>
          <w:rFonts w:ascii="仿宋_GB2312" w:hAnsi="仿宋" w:eastAsia="仿宋_GB2312"/>
          <w:sz w:val="32"/>
          <w:szCs w:val="32"/>
        </w:rPr>
      </w:pPr>
      <w:r>
        <w:rPr>
          <w:rFonts w:hint="eastAsia" w:ascii="仿宋" w:hAnsi="仿宋" w:eastAsia="仿宋"/>
          <w:sz w:val="32"/>
          <w:szCs w:val="32"/>
        </w:rPr>
        <w:t>④</w:t>
      </w:r>
      <w:r>
        <w:rPr>
          <w:rFonts w:hint="eastAsia" w:ascii="仿宋_GB2312" w:hAnsi="仿宋" w:eastAsia="仿宋_GB2312"/>
          <w:sz w:val="32"/>
          <w:szCs w:val="32"/>
        </w:rPr>
        <w:t>主持重大科研项目、领导高端创新团队（创新基地）的科技创新人才和科研管理人才；</w:t>
      </w:r>
    </w:p>
    <w:p>
      <w:pPr>
        <w:spacing w:line="600" w:lineRule="exact"/>
        <w:ind w:firstLine="660"/>
        <w:rPr>
          <w:rFonts w:ascii="仿宋_GB2312" w:hAnsi="仿宋" w:eastAsia="仿宋_GB2312"/>
          <w:sz w:val="32"/>
          <w:szCs w:val="32"/>
        </w:rPr>
      </w:pPr>
      <w:r>
        <w:rPr>
          <w:rFonts w:hint="eastAsia" w:ascii="仿宋" w:hAnsi="仿宋" w:eastAsia="仿宋"/>
          <w:sz w:val="32"/>
          <w:szCs w:val="32"/>
        </w:rPr>
        <w:t>⑤</w:t>
      </w:r>
      <w:r>
        <w:rPr>
          <w:rFonts w:hint="eastAsia" w:ascii="仿宋_GB2312" w:hAnsi="仿宋" w:eastAsia="仿宋_GB2312"/>
          <w:sz w:val="32"/>
          <w:szCs w:val="32"/>
        </w:rPr>
        <w:t>拥有自主知识产权技术，且有成熟性的证明材料（如：科技成果鉴定证书、新产品鉴定证书或检测报告等），自主开发的产品技术达到国内领先水平。</w:t>
      </w:r>
    </w:p>
    <w:p>
      <w:pPr>
        <w:spacing w:line="600" w:lineRule="exact"/>
        <w:ind w:firstLine="622" w:firstLineChars="200"/>
        <w:rPr>
          <w:rFonts w:ascii="仿宋_GB2312" w:hAnsi="仿宋" w:eastAsia="仿宋_GB2312"/>
          <w:b/>
          <w:sz w:val="32"/>
          <w:szCs w:val="32"/>
        </w:rPr>
      </w:pPr>
      <w:r>
        <w:rPr>
          <w:rFonts w:hint="eastAsia" w:ascii="仿宋" w:hAnsi="仿宋" w:eastAsia="仿宋"/>
          <w:b/>
          <w:sz w:val="32"/>
          <w:szCs w:val="32"/>
        </w:rPr>
        <w:t>▉</w:t>
      </w:r>
      <w:r>
        <w:rPr>
          <w:rFonts w:hint="eastAsia" w:ascii="仿宋_GB2312" w:hAnsi="仿宋" w:eastAsia="仿宋_GB2312"/>
          <w:b/>
          <w:sz w:val="32"/>
          <w:szCs w:val="32"/>
        </w:rPr>
        <w:t>培养类团队项目申请人的条件：</w:t>
      </w:r>
    </w:p>
    <w:p>
      <w:pPr>
        <w:spacing w:line="600" w:lineRule="exact"/>
        <w:ind w:firstLine="645"/>
        <w:rPr>
          <w:rFonts w:ascii="仿宋_GB2312" w:hAnsi="仿宋" w:eastAsia="仿宋_GB2312"/>
          <w:sz w:val="32"/>
          <w:szCs w:val="32"/>
        </w:rPr>
      </w:pPr>
      <w:r>
        <w:rPr>
          <w:rFonts w:hint="eastAsia" w:ascii="仿宋" w:hAnsi="仿宋" w:eastAsia="仿宋"/>
          <w:sz w:val="32"/>
          <w:szCs w:val="32"/>
        </w:rPr>
        <w:t>①</w:t>
      </w:r>
      <w:r>
        <w:rPr>
          <w:rFonts w:hint="eastAsia" w:ascii="仿宋_GB2312" w:hAnsi="仿宋" w:eastAsia="仿宋_GB2312"/>
          <w:sz w:val="32"/>
          <w:szCs w:val="32"/>
        </w:rPr>
        <w:t>团队负责人具备博士学位或高级职称，团队核心成员有2人以上具有硕士以上学位，其他成员应具备学士以上学位；</w:t>
      </w:r>
    </w:p>
    <w:p>
      <w:pPr>
        <w:spacing w:line="600" w:lineRule="exact"/>
        <w:ind w:firstLine="645"/>
        <w:rPr>
          <w:rFonts w:ascii="仿宋_GB2312" w:hAnsi="仿宋" w:eastAsia="仿宋_GB2312"/>
          <w:sz w:val="32"/>
          <w:szCs w:val="32"/>
        </w:rPr>
      </w:pPr>
      <w:r>
        <w:rPr>
          <w:rFonts w:hint="eastAsia" w:ascii="仿宋" w:hAnsi="仿宋" w:eastAsia="仿宋"/>
          <w:sz w:val="32"/>
          <w:szCs w:val="32"/>
        </w:rPr>
        <w:t>②</w:t>
      </w:r>
      <w:r>
        <w:rPr>
          <w:rFonts w:hint="eastAsia" w:ascii="仿宋_GB2312" w:hAnsi="仿宋" w:eastAsia="仿宋_GB2312"/>
          <w:sz w:val="32"/>
          <w:szCs w:val="32"/>
        </w:rPr>
        <w:t>团队负责人年龄不超过50岁，团队成员平均年龄不超过45岁；</w:t>
      </w:r>
    </w:p>
    <w:p>
      <w:pPr>
        <w:spacing w:line="600" w:lineRule="exact"/>
        <w:ind w:firstLine="645"/>
        <w:rPr>
          <w:rFonts w:ascii="仿宋_GB2312" w:hAnsi="仿宋" w:eastAsia="仿宋_GB2312"/>
          <w:sz w:val="32"/>
          <w:szCs w:val="32"/>
        </w:rPr>
      </w:pPr>
      <w:r>
        <w:rPr>
          <w:rFonts w:hint="eastAsia" w:ascii="仿宋" w:hAnsi="仿宋" w:eastAsia="仿宋"/>
          <w:sz w:val="32"/>
          <w:szCs w:val="32"/>
        </w:rPr>
        <w:t>③</w:t>
      </w:r>
      <w:r>
        <w:rPr>
          <w:rFonts w:hint="eastAsia" w:ascii="仿宋_GB2312" w:hAnsi="仿宋" w:eastAsia="仿宋_GB2312"/>
          <w:sz w:val="32"/>
          <w:szCs w:val="32"/>
        </w:rPr>
        <w:t>申报项目时已连续在昌工作2年以上，入选后必须为用人单位服务不少于2年；</w:t>
      </w:r>
    </w:p>
    <w:p>
      <w:pPr>
        <w:spacing w:line="600" w:lineRule="exact"/>
        <w:ind w:firstLine="645"/>
        <w:rPr>
          <w:rFonts w:ascii="仿宋_GB2312" w:hAnsi="仿宋" w:eastAsia="仿宋_GB2312"/>
          <w:sz w:val="32"/>
          <w:szCs w:val="32"/>
        </w:rPr>
      </w:pPr>
      <w:r>
        <w:rPr>
          <w:rFonts w:hint="eastAsia" w:ascii="仿宋" w:hAnsi="仿宋" w:eastAsia="仿宋"/>
          <w:sz w:val="32"/>
          <w:szCs w:val="32"/>
        </w:rPr>
        <w:t>④</w:t>
      </w:r>
      <w:r>
        <w:rPr>
          <w:rFonts w:hint="eastAsia" w:ascii="仿宋_GB2312" w:hAnsi="仿宋" w:eastAsia="仿宋_GB2312"/>
          <w:sz w:val="32"/>
          <w:szCs w:val="32"/>
        </w:rPr>
        <w:t>具有较强的自主创新能力，拥有自主知识产权的核心技术，能持续产生创新成果特别是重大科研成果，在本行业中处于国内或省市领先水平，具有较强的市场竞争力。</w:t>
      </w:r>
    </w:p>
    <w:p>
      <w:pPr>
        <w:spacing w:line="600" w:lineRule="exact"/>
        <w:ind w:firstLine="645"/>
        <w:rPr>
          <w:rFonts w:ascii="仿宋_GB2312" w:hAnsi="仿宋" w:eastAsia="仿宋_GB2312"/>
          <w:b/>
          <w:sz w:val="32"/>
          <w:szCs w:val="32"/>
        </w:rPr>
      </w:pPr>
      <w:r>
        <w:rPr>
          <w:rFonts w:hint="eastAsia" w:ascii="仿宋_GB2312" w:hAnsi="仿宋" w:eastAsia="仿宋_GB2312"/>
          <w:sz w:val="32"/>
          <w:szCs w:val="32"/>
        </w:rPr>
        <w:t>引进类项目团队成员须在3人及以上，培养类项目团队成员须在5人及以上。引进类、培养类项目实施期限均为2年，同一申请人只能申报一个项目且不得再次申报项目。</w:t>
      </w:r>
    </w:p>
    <w:p>
      <w:pPr>
        <w:spacing w:line="600" w:lineRule="exact"/>
        <w:ind w:firstLine="622" w:firstLineChars="200"/>
        <w:rPr>
          <w:rFonts w:ascii="楷体_GB2312" w:hAnsi="宋体" w:eastAsia="楷体_GB2312"/>
          <w:b/>
          <w:sz w:val="32"/>
          <w:szCs w:val="32"/>
        </w:rPr>
      </w:pPr>
      <w:r>
        <w:rPr>
          <w:rFonts w:hint="eastAsia" w:ascii="楷体_GB2312" w:hAnsi="宋体" w:eastAsia="楷体_GB2312"/>
          <w:b/>
          <w:sz w:val="32"/>
          <w:szCs w:val="32"/>
        </w:rPr>
        <w:t>（四）申报材料</w:t>
      </w:r>
    </w:p>
    <w:p>
      <w:pPr>
        <w:spacing w:line="600" w:lineRule="exact"/>
        <w:ind w:firstLine="630"/>
        <w:rPr>
          <w:rFonts w:ascii="仿宋_GB2312" w:hAnsi="仿宋" w:eastAsia="仿宋_GB2312"/>
          <w:sz w:val="32"/>
          <w:szCs w:val="32"/>
        </w:rPr>
      </w:pPr>
      <w:r>
        <w:rPr>
          <w:rFonts w:hint="eastAsia" w:ascii="仿宋" w:hAnsi="仿宋" w:eastAsia="仿宋"/>
          <w:sz w:val="32"/>
          <w:szCs w:val="32"/>
        </w:rPr>
        <w:t>①</w:t>
      </w:r>
      <w:r>
        <w:rPr>
          <w:rFonts w:hint="eastAsia" w:ascii="仿宋_GB2312" w:hAnsi="仿宋" w:eastAsia="仿宋_GB2312"/>
          <w:sz w:val="32"/>
          <w:szCs w:val="32"/>
        </w:rPr>
        <w:t>《南昌市高层次科技创新人才“双百计划”项目申报书》；</w:t>
      </w:r>
    </w:p>
    <w:p>
      <w:pPr>
        <w:spacing w:line="600" w:lineRule="exact"/>
        <w:ind w:firstLine="630"/>
        <w:rPr>
          <w:rFonts w:ascii="仿宋_GB2312" w:hAnsi="仿宋" w:eastAsia="仿宋_GB2312"/>
          <w:sz w:val="32"/>
          <w:szCs w:val="32"/>
        </w:rPr>
      </w:pPr>
      <w:r>
        <w:rPr>
          <w:rFonts w:hint="eastAsia" w:ascii="仿宋" w:hAnsi="仿宋" w:eastAsia="仿宋"/>
          <w:sz w:val="32"/>
          <w:szCs w:val="32"/>
        </w:rPr>
        <w:t>②</w:t>
      </w:r>
      <w:r>
        <w:rPr>
          <w:rFonts w:hint="eastAsia" w:ascii="仿宋_GB2312" w:hAnsi="仿宋" w:eastAsia="仿宋_GB2312"/>
          <w:sz w:val="32"/>
          <w:szCs w:val="32"/>
        </w:rPr>
        <w:t>项目申请人学历学位证书、职称证书；</w:t>
      </w:r>
    </w:p>
    <w:p>
      <w:pPr>
        <w:spacing w:line="600" w:lineRule="exact"/>
        <w:ind w:firstLine="630"/>
        <w:rPr>
          <w:rFonts w:ascii="仿宋_GB2312" w:hAnsi="仿宋" w:eastAsia="仿宋_GB2312"/>
          <w:sz w:val="32"/>
          <w:szCs w:val="32"/>
        </w:rPr>
      </w:pPr>
      <w:r>
        <w:rPr>
          <w:rFonts w:hint="eastAsia" w:ascii="仿宋" w:hAnsi="仿宋" w:eastAsia="仿宋"/>
          <w:sz w:val="32"/>
          <w:szCs w:val="32"/>
        </w:rPr>
        <w:t>③</w:t>
      </w:r>
      <w:r>
        <w:rPr>
          <w:rFonts w:hint="eastAsia" w:ascii="仿宋_GB2312" w:hAnsi="仿宋" w:eastAsia="仿宋_GB2312"/>
          <w:sz w:val="32"/>
          <w:szCs w:val="32"/>
        </w:rPr>
        <w:t>项目申请人主要成果证明材料（专利证书、产品证书、奖励证书、科学技术成果证书、代表性论著等）；</w:t>
      </w:r>
    </w:p>
    <w:p>
      <w:pPr>
        <w:spacing w:line="600" w:lineRule="exact"/>
        <w:ind w:firstLine="630"/>
        <w:rPr>
          <w:rFonts w:ascii="仿宋_GB2312" w:hAnsi="仿宋" w:eastAsia="仿宋_GB2312"/>
          <w:sz w:val="32"/>
          <w:szCs w:val="32"/>
        </w:rPr>
      </w:pPr>
      <w:r>
        <w:rPr>
          <w:rFonts w:hint="eastAsia" w:ascii="仿宋" w:hAnsi="仿宋" w:eastAsia="仿宋"/>
          <w:sz w:val="32"/>
          <w:szCs w:val="32"/>
        </w:rPr>
        <w:t>④</w:t>
      </w:r>
      <w:r>
        <w:rPr>
          <w:rFonts w:hint="eastAsia" w:ascii="仿宋_GB2312" w:hAnsi="仿宋" w:eastAsia="仿宋_GB2312"/>
          <w:sz w:val="32"/>
          <w:szCs w:val="32"/>
        </w:rPr>
        <w:t>用人单位证明材料（营业执照、验资报告、公司章程等）；</w:t>
      </w:r>
    </w:p>
    <w:p>
      <w:pPr>
        <w:spacing w:line="600" w:lineRule="exact"/>
        <w:ind w:firstLine="630"/>
        <w:rPr>
          <w:rFonts w:ascii="仿宋_GB2312" w:hAnsi="仿宋" w:eastAsia="仿宋_GB2312"/>
          <w:sz w:val="32"/>
          <w:szCs w:val="32"/>
        </w:rPr>
      </w:pPr>
      <w:r>
        <w:rPr>
          <w:rFonts w:hint="eastAsia" w:ascii="仿宋" w:hAnsi="仿宋" w:eastAsia="仿宋"/>
          <w:sz w:val="32"/>
          <w:szCs w:val="32"/>
        </w:rPr>
        <w:t>⑤</w:t>
      </w:r>
      <w:r>
        <w:rPr>
          <w:rFonts w:hint="eastAsia" w:ascii="仿宋_GB2312" w:hAnsi="仿宋" w:eastAsia="仿宋_GB2312"/>
          <w:sz w:val="32"/>
          <w:szCs w:val="32"/>
        </w:rPr>
        <w:t>聘用合同；</w:t>
      </w:r>
    </w:p>
    <w:p>
      <w:pPr>
        <w:spacing w:line="600" w:lineRule="exact"/>
        <w:ind w:firstLine="630"/>
        <w:rPr>
          <w:rFonts w:ascii="仿宋_GB2312" w:hAnsi="仿宋" w:eastAsia="仿宋_GB2312"/>
          <w:sz w:val="32"/>
          <w:szCs w:val="32"/>
        </w:rPr>
      </w:pPr>
      <w:r>
        <w:rPr>
          <w:rFonts w:hint="eastAsia" w:ascii="仿宋" w:hAnsi="仿宋" w:eastAsia="仿宋"/>
          <w:sz w:val="32"/>
          <w:szCs w:val="32"/>
        </w:rPr>
        <w:t>⑥</w:t>
      </w:r>
      <w:r>
        <w:rPr>
          <w:rFonts w:hint="eastAsia" w:ascii="仿宋_GB2312" w:hAnsi="仿宋" w:eastAsia="仿宋_GB2312"/>
          <w:sz w:val="32"/>
          <w:szCs w:val="32"/>
        </w:rPr>
        <w:t>项目可行性报告；</w:t>
      </w:r>
    </w:p>
    <w:p>
      <w:pPr>
        <w:spacing w:line="600" w:lineRule="exact"/>
        <w:ind w:firstLine="630"/>
        <w:rPr>
          <w:rFonts w:ascii="仿宋_GB2312" w:hAnsi="仿宋" w:eastAsia="仿宋_GB2312"/>
          <w:sz w:val="32"/>
          <w:szCs w:val="32"/>
        </w:rPr>
      </w:pPr>
      <w:r>
        <w:rPr>
          <w:rFonts w:hint="eastAsia" w:ascii="仿宋" w:hAnsi="仿宋" w:eastAsia="仿宋"/>
          <w:sz w:val="32"/>
          <w:szCs w:val="32"/>
        </w:rPr>
        <w:t>⑦</w:t>
      </w:r>
      <w:r>
        <w:rPr>
          <w:rFonts w:hint="eastAsia" w:ascii="仿宋_GB2312" w:hAnsi="仿宋" w:eastAsia="仿宋_GB2312"/>
          <w:sz w:val="32"/>
          <w:szCs w:val="32"/>
        </w:rPr>
        <w:t>项目前期投入经费证明材料；</w:t>
      </w:r>
    </w:p>
    <w:p>
      <w:pPr>
        <w:spacing w:line="600" w:lineRule="exact"/>
        <w:ind w:firstLine="630"/>
        <w:rPr>
          <w:rFonts w:ascii="仿宋_GB2312" w:hAnsi="仿宋" w:eastAsia="仿宋_GB2312"/>
          <w:sz w:val="32"/>
          <w:szCs w:val="32"/>
        </w:rPr>
      </w:pPr>
      <w:r>
        <w:rPr>
          <w:rFonts w:hint="eastAsia" w:ascii="仿宋_GB2312" w:hAnsi="仿宋" w:eastAsia="仿宋_GB2312"/>
          <w:bCs/>
          <w:sz w:val="32"/>
          <w:szCs w:val="32"/>
        </w:rPr>
        <w:fldChar w:fldCharType="begin"/>
      </w:r>
      <w:r>
        <w:rPr>
          <w:rFonts w:hint="eastAsia" w:ascii="仿宋_GB2312" w:hAnsi="仿宋" w:eastAsia="仿宋_GB2312"/>
          <w:bCs/>
          <w:sz w:val="32"/>
          <w:szCs w:val="32"/>
        </w:rPr>
        <w:instrText xml:space="preserve"> = 8 \* GB3 \* MERGEFORMAT </w:instrText>
      </w:r>
      <w:r>
        <w:rPr>
          <w:rFonts w:hint="eastAsia" w:ascii="仿宋_GB2312" w:hAnsi="仿宋" w:eastAsia="仿宋_GB2312"/>
          <w:bCs/>
          <w:sz w:val="32"/>
          <w:szCs w:val="32"/>
        </w:rPr>
        <w:fldChar w:fldCharType="separate"/>
      </w:r>
      <w:r>
        <w:rPr>
          <w:rFonts w:hint="eastAsia" w:ascii="仿宋_GB2312" w:hAnsi="仿宋" w:eastAsia="仿宋_GB2312"/>
          <w:bCs/>
          <w:sz w:val="32"/>
          <w:szCs w:val="32"/>
        </w:rPr>
        <w:t>⑧</w:t>
      </w:r>
      <w:r>
        <w:rPr>
          <w:rFonts w:hint="eastAsia" w:ascii="仿宋_GB2312" w:hAnsi="仿宋" w:eastAsia="仿宋_GB2312"/>
          <w:bCs/>
          <w:sz w:val="32"/>
          <w:szCs w:val="32"/>
        </w:rPr>
        <w:fldChar w:fldCharType="end"/>
      </w:r>
      <w:r>
        <w:rPr>
          <w:rFonts w:hint="eastAsia" w:ascii="仿宋_GB2312" w:hAnsi="仿宋" w:eastAsia="仿宋_GB2312"/>
          <w:sz w:val="32"/>
          <w:szCs w:val="32"/>
        </w:rPr>
        <w:t>项目依托单位为企业的，需提供上年度企业会计报表、企业研发投入统计报表；</w:t>
      </w:r>
    </w:p>
    <w:p>
      <w:pPr>
        <w:spacing w:line="600" w:lineRule="exact"/>
        <w:ind w:firstLine="630"/>
        <w:rPr>
          <w:rFonts w:ascii="仿宋_GB2312" w:hAnsi="仿宋" w:eastAsia="仿宋_GB2312"/>
          <w:bCs/>
          <w:sz w:val="32"/>
          <w:szCs w:val="32"/>
        </w:rPr>
      </w:pPr>
      <w:r>
        <w:rPr>
          <w:rFonts w:hint="eastAsia" w:ascii="微软雅黑" w:hAnsi="微软雅黑" w:eastAsia="微软雅黑"/>
          <w:bCs/>
          <w:sz w:val="32"/>
          <w:szCs w:val="32"/>
        </w:rPr>
        <w:t>⑨</w:t>
      </w:r>
      <w:r>
        <w:rPr>
          <w:rFonts w:hint="eastAsia" w:ascii="仿宋_GB2312" w:hAnsi="仿宋" w:eastAsia="仿宋_GB2312"/>
          <w:bCs/>
          <w:sz w:val="32"/>
          <w:szCs w:val="32"/>
        </w:rPr>
        <w:t>申报培养类项目的申请人需提供近两年社保参保证明。</w:t>
      </w:r>
    </w:p>
    <w:p>
      <w:pPr>
        <w:spacing w:line="600" w:lineRule="exact"/>
        <w:ind w:firstLine="622" w:firstLineChars="200"/>
        <w:rPr>
          <w:rFonts w:ascii="楷体_GB2312" w:hAnsi="宋体" w:eastAsia="楷体_GB2312"/>
          <w:b/>
          <w:sz w:val="32"/>
          <w:szCs w:val="32"/>
        </w:rPr>
      </w:pPr>
      <w:r>
        <w:rPr>
          <w:rFonts w:hint="eastAsia" w:ascii="楷体_GB2312" w:hAnsi="宋体" w:eastAsia="楷体_GB2312"/>
          <w:b/>
          <w:sz w:val="32"/>
          <w:szCs w:val="32"/>
        </w:rPr>
        <w:t>（五）支持强度</w:t>
      </w:r>
    </w:p>
    <w:p>
      <w:pPr>
        <w:spacing w:line="600" w:lineRule="exact"/>
        <w:ind w:firstLine="622" w:firstLineChars="200"/>
        <w:rPr>
          <w:rFonts w:ascii="仿宋_GB2312" w:hAnsi="仿宋" w:eastAsia="仿宋_GB2312"/>
          <w:sz w:val="32"/>
          <w:szCs w:val="32"/>
        </w:rPr>
      </w:pPr>
      <w:r>
        <w:rPr>
          <w:rFonts w:hint="eastAsia" w:ascii="仿宋_GB2312" w:hAnsi="仿宋" w:eastAsia="仿宋_GB2312"/>
          <w:sz w:val="32"/>
          <w:szCs w:val="32"/>
        </w:rPr>
        <w:t>创新人才（引进类、培养类）20万元、创新团队（引进类、培养类）40万元。</w:t>
      </w:r>
    </w:p>
    <w:p/>
    <w:p>
      <w:pPr>
        <w:rPr>
          <w:rFonts w:ascii="Times New Roman" w:hAnsi="Times New Roman"/>
          <w:color w:val="000000"/>
        </w:rPr>
      </w:pPr>
    </w:p>
    <w:p>
      <w:pPr>
        <w:rPr>
          <w:rFonts w:ascii="Times New Roman" w:hAnsi="Times New Roman"/>
          <w:color w:val="000000"/>
        </w:rPr>
      </w:pPr>
    </w:p>
    <w:p>
      <w:pPr>
        <w:rPr>
          <w:rFonts w:ascii="Times New Roman" w:hAnsi="Times New Roman"/>
          <w:color w:val="00000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360" w:lineRule="auto"/>
        <w:rPr>
          <w:rFonts w:ascii="Times New Roman" w:hAnsi="Times New Roman"/>
          <w:color w:val="000000"/>
          <w:sz w:val="30"/>
          <w:szCs w:val="30"/>
        </w:rPr>
      </w:pPr>
    </w:p>
    <w:p>
      <w:pPr>
        <w:spacing w:line="100" w:lineRule="exact"/>
        <w:rPr>
          <w:rFonts w:ascii="黑体" w:hAnsi="黑体" w:eastAsia="黑体"/>
          <w:color w:val="000000"/>
          <w:kern w:val="0"/>
          <w:sz w:val="30"/>
        </w:rPr>
      </w:pPr>
    </w:p>
    <w:p>
      <w:pPr>
        <w:spacing w:line="100" w:lineRule="exact"/>
        <w:rPr>
          <w:rFonts w:ascii="黑体" w:hAnsi="黑体" w:eastAsia="黑体"/>
          <w:color w:val="000000"/>
          <w:kern w:val="0"/>
          <w:sz w:val="30"/>
        </w:rPr>
      </w:pPr>
    </w:p>
    <w:p>
      <w:pPr>
        <w:spacing w:line="100" w:lineRule="exact"/>
        <w:rPr>
          <w:rFonts w:ascii="黑体" w:hAnsi="黑体" w:eastAsia="黑体"/>
          <w:color w:val="000000"/>
          <w:kern w:val="0"/>
          <w:sz w:val="30"/>
        </w:rPr>
      </w:pPr>
    </w:p>
    <w:p>
      <w:pPr>
        <w:spacing w:line="100" w:lineRule="exact"/>
        <w:rPr>
          <w:rFonts w:ascii="黑体" w:hAnsi="黑体" w:eastAsia="黑体"/>
          <w:color w:val="000000"/>
          <w:kern w:val="0"/>
          <w:sz w:val="30"/>
        </w:rPr>
      </w:pPr>
    </w:p>
    <w:p>
      <w:pPr>
        <w:spacing w:line="100" w:lineRule="exact"/>
        <w:rPr>
          <w:rFonts w:ascii="黑体" w:hAnsi="黑体" w:eastAsia="黑体"/>
          <w:color w:val="000000"/>
          <w:kern w:val="0"/>
          <w:sz w:val="30"/>
        </w:rPr>
      </w:pPr>
    </w:p>
    <w:p>
      <w:pPr>
        <w:spacing w:line="100" w:lineRule="exact"/>
        <w:rPr>
          <w:rFonts w:ascii="黑体" w:hAnsi="黑体" w:eastAsia="黑体"/>
          <w:color w:val="000000"/>
          <w:kern w:val="0"/>
          <w:sz w:val="30"/>
        </w:rPr>
      </w:pPr>
    </w:p>
    <w:p>
      <w:pPr>
        <w:spacing w:line="100" w:lineRule="exact"/>
        <w:rPr>
          <w:rFonts w:ascii="黑体" w:hAnsi="黑体" w:eastAsia="黑体"/>
          <w:color w:val="000000"/>
          <w:kern w:val="0"/>
          <w:sz w:val="30"/>
        </w:rPr>
      </w:pPr>
    </w:p>
    <w:p>
      <w:pPr>
        <w:spacing w:line="100" w:lineRule="exact"/>
        <w:rPr>
          <w:rFonts w:ascii="黑体" w:hAnsi="黑体" w:eastAsia="黑体"/>
          <w:color w:val="000000"/>
          <w:kern w:val="0"/>
          <w:sz w:val="30"/>
        </w:rPr>
      </w:pPr>
      <w:r>
        <w:rPr>
          <w:rFonts w:cs="宋体"/>
          <w:szCs w:val="22"/>
        </w:rPr>
        <mc:AlternateContent>
          <mc:Choice Requires="wps">
            <w:drawing>
              <wp:anchor distT="0" distB="0" distL="114300" distR="114300" simplePos="0" relativeHeight="251659264" behindDoc="0" locked="0" layoutInCell="1" allowOverlap="1">
                <wp:simplePos x="0" y="0"/>
                <wp:positionH relativeFrom="column">
                  <wp:posOffset>-103505</wp:posOffset>
                </wp:positionH>
                <wp:positionV relativeFrom="paragraph">
                  <wp:posOffset>60325</wp:posOffset>
                </wp:positionV>
                <wp:extent cx="5705475" cy="0"/>
                <wp:effectExtent l="0" t="0" r="0" b="0"/>
                <wp:wrapNone/>
                <wp:docPr id="1"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5705475" cy="0"/>
                        </a:xfrm>
                        <a:prstGeom prst="straightConnector1">
                          <a:avLst/>
                        </a:prstGeom>
                        <a:noFill/>
                        <a:ln w="15875">
                          <a:solidFill>
                            <a:srgbClr val="000000"/>
                          </a:solidFill>
                          <a:round/>
                        </a:ln>
                        <a:effectLst/>
                      </wps:spPr>
                      <wps:bodyPr/>
                    </wps:wsp>
                  </a:graphicData>
                </a:graphic>
              </wp:anchor>
            </w:drawing>
          </mc:Choice>
          <mc:Fallback>
            <w:pict>
              <v:shape id="直接箭头连接符 2" o:spid="_x0000_s1026" o:spt="32" type="#_x0000_t32" style="position:absolute;left:0pt;margin-left:-8.15pt;margin-top:4.75pt;height:0pt;width:449.25pt;z-index:251659264;mso-width-relative:page;mso-height-relative:page;" filled="f" stroked="t" coordsize="21600,21600" o:gfxdata="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QF7WtYAAAAHAQAADwAAAAAAAAABACAAAAAiAAAAZHJzL2Rvd25yZXYueG1sUEsB&#10;AhQAFAAAAAgAh07iQPk682X3AQAAzQMAAA4AAAAAAAAAAQAgAAAAJQEAAGRycy9lMm9Eb2MueG1s&#10;UEsFBgAAAAAGAAYAWQEAAI4FAAAAAA==&#10;">
                <v:fill on="f" focussize="0,0"/>
                <v:stroke weight="1.25pt" color="#000000" joinstyle="round"/>
                <v:imagedata o:title=""/>
                <o:lock v:ext="edit" aspectratio="f"/>
              </v:shape>
            </w:pict>
          </mc:Fallback>
        </mc:AlternateContent>
      </w:r>
    </w:p>
    <w:p>
      <w:pPr>
        <w:ind w:right="-188" w:rightChars="-94" w:firstLine="48" w:firstLineChars="24"/>
      </w:pPr>
      <w:r>
        <w:rPr>
          <w:rFonts w:cs="宋体"/>
          <w:szCs w:val="22"/>
        </w:rPr>
        <mc:AlternateContent>
          <mc:Choice Requires="wps">
            <w:drawing>
              <wp:anchor distT="0" distB="0" distL="114300" distR="114300" simplePos="0" relativeHeight="251660288" behindDoc="0" locked="0" layoutInCell="1" allowOverlap="1">
                <wp:simplePos x="0" y="0"/>
                <wp:positionH relativeFrom="column">
                  <wp:posOffset>-113030</wp:posOffset>
                </wp:positionH>
                <wp:positionV relativeFrom="paragraph">
                  <wp:posOffset>387350</wp:posOffset>
                </wp:positionV>
                <wp:extent cx="5705475" cy="0"/>
                <wp:effectExtent l="0" t="0" r="0" b="0"/>
                <wp:wrapNone/>
                <wp:docPr id="2"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5705475" cy="0"/>
                        </a:xfrm>
                        <a:prstGeom prst="straightConnector1">
                          <a:avLst/>
                        </a:prstGeom>
                        <a:noFill/>
                        <a:ln w="15875">
                          <a:solidFill>
                            <a:srgbClr val="000000"/>
                          </a:solidFill>
                          <a:round/>
                        </a:ln>
                        <a:effectLst/>
                      </wps:spPr>
                      <wps:bodyPr/>
                    </wps:wsp>
                  </a:graphicData>
                </a:graphic>
              </wp:anchor>
            </w:drawing>
          </mc:Choice>
          <mc:Fallback>
            <w:pict>
              <v:shape id="直接箭头连接符 1" o:spid="_x0000_s1026" o:spt="32" type="#_x0000_t32" style="position:absolute;left:0pt;margin-left:-8.9pt;margin-top:30.5pt;height:0pt;width:449.25pt;z-index:251660288;mso-width-relative:page;mso-height-relative:page;" filled="f" stroked="t" coordsize="21600,21600" o:gfxdata="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1/7Q9cAAAAJAQAADwAAAAAAAAABACAAAAAiAAAAZHJzL2Rvd25yZXYueG1s&#10;UEsBAhQAFAAAAAgAh07iQOZs59T5AQAAzQMAAA4AAAAAAAAAAQAgAAAAJgEAAGRycy9lMm9Eb2Mu&#10;eG1sUEsFBgAAAAAGAAYAWQEAAJEFAAAAAA==&#10;">
                <v:fill on="f" focussize="0,0"/>
                <v:stroke weight="1.25pt" color="#000000" joinstyle="round"/>
                <v:imagedata o:title=""/>
                <o:lock v:ext="edit" aspectratio="f"/>
              </v:shape>
            </w:pict>
          </mc:Fallback>
        </mc:AlternateContent>
      </w:r>
      <w:r>
        <w:rPr>
          <w:rFonts w:hint="eastAsia" w:ascii="仿宋_GB2312" w:hAnsi="仿宋" w:eastAsia="仿宋_GB2312"/>
          <w:color w:val="000000"/>
          <w:sz w:val="28"/>
          <w:szCs w:val="28"/>
        </w:rPr>
        <w:t>南昌市科学技术局办公室                      2022年</w:t>
      </w:r>
      <w:r>
        <w:rPr>
          <w:rFonts w:ascii="仿宋_GB2312" w:hAnsi="仿宋" w:eastAsia="仿宋_GB2312"/>
          <w:color w:val="000000"/>
          <w:sz w:val="28"/>
          <w:szCs w:val="28"/>
        </w:rPr>
        <w:t>3</w:t>
      </w:r>
      <w:r>
        <w:rPr>
          <w:rFonts w:hint="eastAsia" w:ascii="仿宋_GB2312" w:hAnsi="仿宋" w:eastAsia="仿宋_GB2312"/>
          <w:color w:val="000000"/>
          <w:sz w:val="28"/>
          <w:szCs w:val="28"/>
        </w:rPr>
        <w:t>月</w:t>
      </w:r>
      <w:r>
        <w:rPr>
          <w:rFonts w:ascii="仿宋_GB2312" w:hAnsi="仿宋" w:eastAsia="仿宋_GB2312"/>
          <w:color w:val="000000"/>
          <w:sz w:val="28"/>
          <w:szCs w:val="28"/>
        </w:rPr>
        <w:t>3</w:t>
      </w:r>
      <w:r>
        <w:rPr>
          <w:rFonts w:hint="eastAsia" w:ascii="仿宋_GB2312" w:hAnsi="仿宋" w:eastAsia="仿宋_GB2312"/>
          <w:color w:val="000000"/>
          <w:sz w:val="28"/>
          <w:szCs w:val="28"/>
        </w:rPr>
        <w:t>日印发</w:t>
      </w:r>
    </w:p>
    <w:sectPr>
      <w:footerReference r:id="rId3" w:type="default"/>
      <w:footerReference r:id="rId4" w:type="even"/>
      <w:pgSz w:w="11906" w:h="16838"/>
      <w:pgMar w:top="2098" w:right="1474" w:bottom="1588" w:left="1588" w:header="851" w:footer="851" w:gutter="0"/>
      <w:pgNumType w:fmt="numberInDash" w:start="1"/>
      <w:cols w:space="720" w:num="1"/>
      <w:docGrid w:type="linesAndChars" w:linePitch="305"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28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13 -</w:t>
    </w:r>
    <w:r>
      <w:rPr>
        <w:rFonts w:ascii="宋体" w:hAnsi="宋体"/>
        <w:sz w:val="28"/>
        <w:szCs w:val="28"/>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560" w:firstLine="280" w:firstLine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evenAndOddHeaders w:val="1"/>
  <w:drawingGridHorizontalSpacing w:val="201"/>
  <w:drawingGridVerticalSpacing w:val="30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772AA6"/>
    <w:rsid w:val="00026862"/>
    <w:rsid w:val="000518FD"/>
    <w:rsid w:val="000529B4"/>
    <w:rsid w:val="00061EE6"/>
    <w:rsid w:val="000736EE"/>
    <w:rsid w:val="00086D02"/>
    <w:rsid w:val="000E0896"/>
    <w:rsid w:val="00101D3F"/>
    <w:rsid w:val="001118AE"/>
    <w:rsid w:val="001140DE"/>
    <w:rsid w:val="00157F0C"/>
    <w:rsid w:val="00162D25"/>
    <w:rsid w:val="0017708B"/>
    <w:rsid w:val="0018226E"/>
    <w:rsid w:val="00187D5F"/>
    <w:rsid w:val="001B621E"/>
    <w:rsid w:val="001C629E"/>
    <w:rsid w:val="001F66A3"/>
    <w:rsid w:val="00200CBF"/>
    <w:rsid w:val="00205038"/>
    <w:rsid w:val="00210287"/>
    <w:rsid w:val="002135B0"/>
    <w:rsid w:val="002344ED"/>
    <w:rsid w:val="002409E4"/>
    <w:rsid w:val="00285000"/>
    <w:rsid w:val="002A0D2C"/>
    <w:rsid w:val="002A4466"/>
    <w:rsid w:val="002A5C91"/>
    <w:rsid w:val="002E433D"/>
    <w:rsid w:val="002F3D9C"/>
    <w:rsid w:val="003169C8"/>
    <w:rsid w:val="00324262"/>
    <w:rsid w:val="003546DE"/>
    <w:rsid w:val="003606D8"/>
    <w:rsid w:val="00363588"/>
    <w:rsid w:val="00366B47"/>
    <w:rsid w:val="0038386C"/>
    <w:rsid w:val="00393B63"/>
    <w:rsid w:val="003D227D"/>
    <w:rsid w:val="00406DE5"/>
    <w:rsid w:val="00425C71"/>
    <w:rsid w:val="004353E4"/>
    <w:rsid w:val="00450732"/>
    <w:rsid w:val="0045791E"/>
    <w:rsid w:val="00466B06"/>
    <w:rsid w:val="0047456E"/>
    <w:rsid w:val="00475B9A"/>
    <w:rsid w:val="0048014A"/>
    <w:rsid w:val="004933AC"/>
    <w:rsid w:val="004C2694"/>
    <w:rsid w:val="004C2A13"/>
    <w:rsid w:val="004C503F"/>
    <w:rsid w:val="004C7878"/>
    <w:rsid w:val="004E2FB7"/>
    <w:rsid w:val="004F5F2A"/>
    <w:rsid w:val="00554A40"/>
    <w:rsid w:val="00570A18"/>
    <w:rsid w:val="00576785"/>
    <w:rsid w:val="00590D03"/>
    <w:rsid w:val="005C0918"/>
    <w:rsid w:val="005C6493"/>
    <w:rsid w:val="005D2744"/>
    <w:rsid w:val="005F5C19"/>
    <w:rsid w:val="00601876"/>
    <w:rsid w:val="0062541F"/>
    <w:rsid w:val="00632A52"/>
    <w:rsid w:val="0064329C"/>
    <w:rsid w:val="00672F78"/>
    <w:rsid w:val="006777FD"/>
    <w:rsid w:val="00677B1F"/>
    <w:rsid w:val="006932B0"/>
    <w:rsid w:val="00694E9D"/>
    <w:rsid w:val="006A15B8"/>
    <w:rsid w:val="006D73A8"/>
    <w:rsid w:val="006E3ED1"/>
    <w:rsid w:val="007146F1"/>
    <w:rsid w:val="00760E03"/>
    <w:rsid w:val="00771574"/>
    <w:rsid w:val="00775C5F"/>
    <w:rsid w:val="00783205"/>
    <w:rsid w:val="007A4032"/>
    <w:rsid w:val="007A4193"/>
    <w:rsid w:val="007C3B15"/>
    <w:rsid w:val="008044FC"/>
    <w:rsid w:val="00816E55"/>
    <w:rsid w:val="00830AED"/>
    <w:rsid w:val="00866FBD"/>
    <w:rsid w:val="00881438"/>
    <w:rsid w:val="00883909"/>
    <w:rsid w:val="008C4459"/>
    <w:rsid w:val="008D6A32"/>
    <w:rsid w:val="008E7108"/>
    <w:rsid w:val="008F324C"/>
    <w:rsid w:val="008F6B3E"/>
    <w:rsid w:val="00904BAA"/>
    <w:rsid w:val="0092539B"/>
    <w:rsid w:val="00952624"/>
    <w:rsid w:val="00955243"/>
    <w:rsid w:val="009562EB"/>
    <w:rsid w:val="00960D43"/>
    <w:rsid w:val="009679A9"/>
    <w:rsid w:val="009B20B0"/>
    <w:rsid w:val="00A14B54"/>
    <w:rsid w:val="00A2259C"/>
    <w:rsid w:val="00A33C16"/>
    <w:rsid w:val="00A33E5F"/>
    <w:rsid w:val="00A41594"/>
    <w:rsid w:val="00A460E6"/>
    <w:rsid w:val="00AA1E42"/>
    <w:rsid w:val="00AA7D38"/>
    <w:rsid w:val="00AD0434"/>
    <w:rsid w:val="00AD1B8A"/>
    <w:rsid w:val="00AF1FA9"/>
    <w:rsid w:val="00B00C32"/>
    <w:rsid w:val="00B05F92"/>
    <w:rsid w:val="00B15687"/>
    <w:rsid w:val="00B223F2"/>
    <w:rsid w:val="00B3075C"/>
    <w:rsid w:val="00B42BB9"/>
    <w:rsid w:val="00B47D27"/>
    <w:rsid w:val="00B64CAF"/>
    <w:rsid w:val="00B76A72"/>
    <w:rsid w:val="00BB7ED1"/>
    <w:rsid w:val="00BF1990"/>
    <w:rsid w:val="00C20D86"/>
    <w:rsid w:val="00C452B0"/>
    <w:rsid w:val="00C64A43"/>
    <w:rsid w:val="00C65E96"/>
    <w:rsid w:val="00C73426"/>
    <w:rsid w:val="00CC53D2"/>
    <w:rsid w:val="00CE3808"/>
    <w:rsid w:val="00CF4DF3"/>
    <w:rsid w:val="00D03E32"/>
    <w:rsid w:val="00D15A77"/>
    <w:rsid w:val="00D15BD7"/>
    <w:rsid w:val="00D43E7D"/>
    <w:rsid w:val="00D43FFE"/>
    <w:rsid w:val="00D56646"/>
    <w:rsid w:val="00D75B9E"/>
    <w:rsid w:val="00D81878"/>
    <w:rsid w:val="00D90F02"/>
    <w:rsid w:val="00D94D8A"/>
    <w:rsid w:val="00DA0103"/>
    <w:rsid w:val="00DC172D"/>
    <w:rsid w:val="00DD3690"/>
    <w:rsid w:val="00DD54FC"/>
    <w:rsid w:val="00DE4204"/>
    <w:rsid w:val="00DF39B0"/>
    <w:rsid w:val="00DF6952"/>
    <w:rsid w:val="00E03AB6"/>
    <w:rsid w:val="00E45FFD"/>
    <w:rsid w:val="00E46798"/>
    <w:rsid w:val="00E77C07"/>
    <w:rsid w:val="00E906ED"/>
    <w:rsid w:val="00E92DA9"/>
    <w:rsid w:val="00E97D68"/>
    <w:rsid w:val="00EA3867"/>
    <w:rsid w:val="00EC1648"/>
    <w:rsid w:val="00EC472B"/>
    <w:rsid w:val="00ED03F8"/>
    <w:rsid w:val="00F006BF"/>
    <w:rsid w:val="00F01D8C"/>
    <w:rsid w:val="00F03660"/>
    <w:rsid w:val="00F25FAC"/>
    <w:rsid w:val="00F2703E"/>
    <w:rsid w:val="00F515FC"/>
    <w:rsid w:val="00F647CE"/>
    <w:rsid w:val="00F9071C"/>
    <w:rsid w:val="00FE376E"/>
    <w:rsid w:val="00FF629B"/>
    <w:rsid w:val="0B684A05"/>
    <w:rsid w:val="0F5409E6"/>
    <w:rsid w:val="128F603E"/>
    <w:rsid w:val="1301665D"/>
    <w:rsid w:val="29E54EA2"/>
    <w:rsid w:val="30772AA6"/>
    <w:rsid w:val="31475B4F"/>
    <w:rsid w:val="3B713BD8"/>
    <w:rsid w:val="4529296A"/>
    <w:rsid w:val="463E07B1"/>
    <w:rsid w:val="46641D1A"/>
    <w:rsid w:val="4A4B11DF"/>
    <w:rsid w:val="4BD034A7"/>
    <w:rsid w:val="58072986"/>
    <w:rsid w:val="5948364A"/>
    <w:rsid w:val="5AC5538D"/>
    <w:rsid w:val="61967435"/>
    <w:rsid w:val="6B3B2FF4"/>
    <w:rsid w:val="6E1F7268"/>
    <w:rsid w:val="72F36E9A"/>
    <w:rsid w:val="7BB24135"/>
    <w:rsid w:val="7BCD1665"/>
    <w:rsid w:val="7D0D27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kern w:val="0"/>
      <w:sz w:val="24"/>
    </w:rPr>
  </w:style>
  <w:style w:type="paragraph" w:styleId="8">
    <w:name w:val="List Paragraph"/>
    <w:basedOn w:val="1"/>
    <w:qFormat/>
    <w:uiPriority w:val="34"/>
    <w:pPr>
      <w:ind w:firstLine="420" w:firstLineChars="200"/>
    </w:pPr>
  </w:style>
  <w:style w:type="character" w:customStyle="1" w:styleId="9">
    <w:name w:val="页眉 Char"/>
    <w:basedOn w:val="7"/>
    <w:link w:val="4"/>
    <w:qFormat/>
    <w:uiPriority w:val="0"/>
    <w:rPr>
      <w:rFonts w:ascii="Calibri" w:hAnsi="Calibri"/>
      <w:kern w:val="2"/>
      <w:sz w:val="18"/>
      <w:szCs w:val="18"/>
    </w:rPr>
  </w:style>
  <w:style w:type="character" w:customStyle="1" w:styleId="10">
    <w:name w:val="批注框文本 Char"/>
    <w:basedOn w:val="7"/>
    <w:link w:val="2"/>
    <w:qFormat/>
    <w:uiPriority w:val="0"/>
    <w:rPr>
      <w:rFonts w:ascii="Calibri" w:hAnsi="Calibri"/>
      <w:kern w:val="2"/>
      <w:sz w:val="18"/>
      <w:szCs w:val="18"/>
    </w:rPr>
  </w:style>
  <w:style w:type="paragraph" w:customStyle="1" w:styleId="11">
    <w:name w:val="Revision"/>
    <w:hidden/>
    <w:semiHidden/>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890</Words>
  <Characters>5073</Characters>
  <Lines>42</Lines>
  <Paragraphs>11</Paragraphs>
  <TotalTime>57</TotalTime>
  <ScaleCrop>false</ScaleCrop>
  <LinksUpToDate>false</LinksUpToDate>
  <CharactersWithSpaces>5952</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2022-03-02T08:33:00Z</dcterms:created>
  <dc:creator>虞赞莹</dc:creator>
  <cp:lastModifiedBy>堇色安年♀</cp:lastModifiedBy>
  <cp:lastPrinted>2022-02-23T07:11:00Z</cp:lastPrinted>
  <dcterms:modified xsi:type="dcterms:W3CDTF">2022-03-09T02:50:44Z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418CA2A0F80546BEB4E74B1B8552C11B</vt:lpwstr>
  </property>
</Properties>
</file>