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方正小标宋简体" w:hAnsi="方正小标宋简体" w:eastAsia="方正小标宋简体" w:cs="方正小标宋简体"/>
          <w:color w:val="000000"/>
          <w:kern w:val="0"/>
          <w:sz w:val="32"/>
          <w:szCs w:val="32"/>
        </w:rPr>
      </w:pPr>
      <w:r>
        <w:rPr>
          <w:rFonts w:hint="eastAsia" w:ascii="方正小标宋简体" w:hAnsi="方正小标宋简体" w:eastAsia="方正小标宋简体" w:cs="方正小标宋简体"/>
          <w:color w:val="000000"/>
          <w:kern w:val="0"/>
          <w:sz w:val="32"/>
          <w:szCs w:val="32"/>
        </w:rPr>
        <w:t>附件1：</w:t>
      </w:r>
    </w:p>
    <w:p>
      <w:pPr>
        <w:spacing w:line="360" w:lineRule="auto"/>
        <w:jc w:val="center"/>
        <w:rPr>
          <w:rFonts w:ascii="方正小标宋简体" w:hAnsi="方正小标宋简体" w:eastAsia="方正小标宋简体" w:cs="方正小标宋简体"/>
          <w:color w:val="000000"/>
          <w:kern w:val="0"/>
          <w:sz w:val="32"/>
          <w:szCs w:val="32"/>
        </w:rPr>
      </w:pPr>
      <w:r>
        <w:rPr>
          <w:rFonts w:hint="eastAsia" w:ascii="方正小标宋简体" w:hAnsi="方正小标宋简体" w:eastAsia="方正小标宋简体" w:cs="方正小标宋简体"/>
          <w:color w:val="000000"/>
          <w:kern w:val="0"/>
          <w:sz w:val="32"/>
          <w:szCs w:val="32"/>
        </w:rPr>
        <w:t>宜春市社会科学研究“十四五”（2022年）</w:t>
      </w:r>
    </w:p>
    <w:p>
      <w:pPr>
        <w:spacing w:line="360" w:lineRule="auto"/>
        <w:jc w:val="center"/>
        <w:rPr>
          <w:rFonts w:ascii="方正小标宋简体" w:hAnsi="方正小标宋简体" w:eastAsia="方正小标宋简体" w:cs="方正小标宋简体"/>
          <w:color w:val="000000"/>
          <w:kern w:val="0"/>
          <w:sz w:val="32"/>
          <w:szCs w:val="32"/>
        </w:rPr>
      </w:pPr>
      <w:r>
        <w:rPr>
          <w:rFonts w:hint="eastAsia" w:ascii="方正小标宋简体" w:hAnsi="方正小标宋简体" w:eastAsia="方正小标宋简体" w:cs="方正小标宋简体"/>
          <w:color w:val="000000"/>
          <w:kern w:val="0"/>
          <w:sz w:val="32"/>
          <w:szCs w:val="32"/>
        </w:rPr>
        <w:t>规划项目一般课题指南</w:t>
      </w:r>
    </w:p>
    <w:p>
      <w:pPr>
        <w:spacing w:line="360" w:lineRule="auto"/>
        <w:rPr>
          <w:rFonts w:ascii="黑体" w:hAnsi="仿宋_GB2312" w:eastAsia="黑体" w:cs="仿宋_GB2312"/>
          <w:sz w:val="32"/>
          <w:szCs w:val="32"/>
        </w:rPr>
      </w:pPr>
    </w:p>
    <w:p>
      <w:pPr>
        <w:spacing w:line="360" w:lineRule="auto"/>
        <w:jc w:val="center"/>
        <w:rPr>
          <w:rFonts w:ascii="黑体" w:hAnsi="黑体" w:eastAsia="黑体" w:cs="黑体"/>
          <w:sz w:val="32"/>
          <w:szCs w:val="32"/>
        </w:rPr>
      </w:pPr>
      <w:r>
        <w:rPr>
          <w:rFonts w:hint="eastAsia" w:ascii="黑体" w:hAnsi="黑体" w:eastAsia="黑体" w:cs="黑体"/>
          <w:sz w:val="32"/>
          <w:szCs w:val="32"/>
        </w:rPr>
        <w:t>一、马克思主义•科学社会主义</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1.习近平新时代中国特色社会主义思想的历史唯物主义蕴涵研究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2.习近平总书记关于新时代学校思想政治理论课的重要论述研究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3.习近平总书记关于科技创新的重要论述研究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4.习近平总书记关于社会治理的重要论述研究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5.“江山就是人民、人民就是江山”的时代内涵与价值意蕴研究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6.新时代加强我市意识形态阵地管理研究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7.伟大抗疫精神融入思想政治理论课研究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8.“两个一百年”奋斗目标的理论基础、历史逻辑和实现路径研究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9.新发展阶段协调推进“四个全面”战略布局研究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10.满足人民文化需求和增强人民精神力量相统一的实现机制研究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11.推进我市新时代文明实践中心和融媒体中心建设研究</w:t>
      </w:r>
    </w:p>
    <w:p>
      <w:pPr>
        <w:spacing w:line="360" w:lineRule="auto"/>
        <w:jc w:val="center"/>
        <w:rPr>
          <w:rFonts w:ascii="黑体" w:hAnsi="黑体" w:eastAsia="黑体" w:cs="黑体"/>
          <w:sz w:val="32"/>
          <w:szCs w:val="32"/>
        </w:rPr>
      </w:pPr>
      <w:r>
        <w:rPr>
          <w:rFonts w:hint="eastAsia" w:ascii="黑体" w:hAnsi="黑体" w:eastAsia="黑体" w:cs="黑体"/>
          <w:sz w:val="32"/>
          <w:szCs w:val="32"/>
        </w:rPr>
        <w:t>二、党史•党建</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1.习近平总书记关于中共党史、新中国史、改革开放史、社会主义发展史的重要论述研究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2.习近平总书记关于新时代全面加强党的建设重要论述研究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3.习近平总书记关于讲政治必须提高“三种能力”的重要论述研究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4.习近平总书记对中国共产党革命精神的理论贡献研究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5.中国共产党百年历程与全面建成小康社会研究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6.中国共产党与马克思主义中国化时代化大众化研究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7.中国共产党政治优势、思想优势、组织优势、制度优势研究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8.中国共产党第三个《决议》的核心要义与时代价值研究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9.中国共产党领导人民进行革命、建设、改革的百年历程研究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10.对我市各个历史时期革命遗址、革命文物和教育基地保护和利用研究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11.健全共建共治共享社会治安综合治理格局</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12.我市红色文化遗址考证、文献整理与信息库建设研究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13.民生领域“微腐败”主要表现、原因及治理对策</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14.巩固党史学习教育成果研究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15.“勤廉宜春”实践与经验研究</w:t>
      </w:r>
    </w:p>
    <w:p>
      <w:pPr>
        <w:spacing w:line="360" w:lineRule="auto"/>
        <w:jc w:val="center"/>
        <w:rPr>
          <w:rFonts w:ascii="黑体" w:hAnsi="黑体" w:eastAsia="黑体" w:cs="黑体"/>
          <w:sz w:val="32"/>
          <w:szCs w:val="32"/>
        </w:rPr>
      </w:pPr>
      <w:r>
        <w:rPr>
          <w:rFonts w:hint="eastAsia" w:ascii="黑体" w:hAnsi="黑体" w:eastAsia="黑体" w:cs="黑体"/>
          <w:sz w:val="32"/>
          <w:szCs w:val="32"/>
        </w:rPr>
        <w:t>三、哲学</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1.习近平新时代中国特色社会主义思想的哲学体系研究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2.习近平新时代中国特色社会主义思想的价值观研究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3.习近平法治思想的哲学研究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4.习近平关于全面建设小康社会重要论述的哲学研究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5.人类命运共同体的哲学研究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6.百年未有之大变局背景下人类文明发展趋势研究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7.中国特色社会主义制度优越性的哲学研究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8.以人民为中心思想的哲学基础研究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9.关于高质量发展和美好生活的哲学研究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10.疫情防范与人类卫生健康共同体的哲学研究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11.中华传统美德的传承、弘扬和现代转化研究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12.社会主义核心价值观与新时代公民道德建设研究</w:t>
      </w:r>
    </w:p>
    <w:p>
      <w:pPr>
        <w:spacing w:line="360" w:lineRule="auto"/>
        <w:jc w:val="center"/>
        <w:rPr>
          <w:rFonts w:ascii="黑体" w:hAnsi="黑体" w:eastAsia="黑体" w:cs="黑体"/>
          <w:sz w:val="32"/>
          <w:szCs w:val="32"/>
        </w:rPr>
      </w:pPr>
      <w:r>
        <w:rPr>
          <w:rFonts w:hint="eastAsia" w:ascii="黑体" w:hAnsi="黑体" w:eastAsia="黑体" w:cs="黑体"/>
          <w:sz w:val="32"/>
          <w:szCs w:val="32"/>
        </w:rPr>
        <w:t>四、经济学</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1.习近平新时代中国特色社会主义经济思想体系研究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2.中国共产党百年经济实践与经济发展规律研究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3.推进以人为核心的新型城镇化研究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4.数字经济驱动宜春低碳经济发展的路径研究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5.“十四五”时期宜春推动大数据与实体经济深度融合的难点与对策研究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6.“十四五”时期宜春推动高质量发展的新动能和新机制研究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7.“十四五”时期宜春坚持创新驱动发展全面塑造发展新优势研究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8.“十四五”时期宜春实施乡村建设行动的重难点问题及对策研究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9.“十四五”时期宜春市科技高效率创新驱动发展战略研究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10.新时代宜春绿水青山变金山银山的重点任务和实现路径研究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11.以大数据和智能决策驱动我市公共卫生重大风险防控治理体系现代化研究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12.军民融合供给侧结构性改革研究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13.军民融合创新体系建设研究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14.“一带一路”与军民融合发展战略综合施策研究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15.全面建设绿色生态强市的实现路径研究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16.全面建设开放创新强市的实现路径研究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17.全面建设先进制造业强市的实现路径研究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18.全面建设现代农业强市的实现路径研究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19.全面建设文化旅游强市的实现路径研究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20.全面建设社会治理强市的实现路径研究</w:t>
      </w:r>
    </w:p>
    <w:p>
      <w:pPr>
        <w:spacing w:line="360" w:lineRule="auto"/>
        <w:jc w:val="center"/>
        <w:rPr>
          <w:rFonts w:ascii="黑体" w:hAnsi="黑体" w:eastAsia="黑体" w:cs="黑体"/>
          <w:sz w:val="32"/>
          <w:szCs w:val="32"/>
        </w:rPr>
      </w:pPr>
      <w:r>
        <w:rPr>
          <w:rFonts w:hint="eastAsia" w:ascii="黑体" w:hAnsi="黑体" w:eastAsia="黑体" w:cs="黑体"/>
          <w:sz w:val="32"/>
          <w:szCs w:val="32"/>
        </w:rPr>
        <w:t>五、法学</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1.习近平法治思想的理论体系研究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2.网络直播营销的行政法规制研究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3.优化营商环境法治保障研究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4.公共卫生治理的法律问题研究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5.构建新发展格局法治保障研究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6.完善我市应急管理体系研究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7.民法典研究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8.习近平法治思想融入高等教育的路径研究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9.宜春智慧城市建设的法治保障研究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10.农村生态文化遗产与环境治理的法治保障研究</w:t>
      </w:r>
    </w:p>
    <w:p>
      <w:pPr>
        <w:spacing w:line="360" w:lineRule="auto"/>
        <w:jc w:val="center"/>
        <w:rPr>
          <w:rFonts w:ascii="黑体" w:hAnsi="黑体" w:eastAsia="黑体" w:cs="黑体"/>
          <w:sz w:val="32"/>
          <w:szCs w:val="32"/>
        </w:rPr>
      </w:pPr>
      <w:r>
        <w:rPr>
          <w:rFonts w:hint="eastAsia" w:ascii="黑体" w:hAnsi="黑体" w:eastAsia="黑体" w:cs="黑体"/>
          <w:sz w:val="32"/>
          <w:szCs w:val="32"/>
        </w:rPr>
        <w:t>六、社会学</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1.“十四五”时期健全社会保障体系全面推进健康宜春建设研究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2.提升宜春市基层治理体系和治理能力现代化的路径研究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3.打造宜春共建共治共享的社会治理格局的实现路径研究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4.乡村振兴背景下农村社区组织体系建设、产业发展和转型升级、社会工作等问题研究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5.新时代文明实践志愿服务工作方法研究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6.精准扶贫后农村相对贫困治理研究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7.留守儿童和流动儿童健康及其社会影响研究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8.“新乡贤”融入我市乡村治理现代化的机制研究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9.乡村振兴与新型城镇化融合发展研究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10.“十四五”时期新时代文明实践中心建设与乡村治理研究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11.新型城镇化中社区治理现代化转型研究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12.社会工作组织在基层社会治理共同体建设中的效用研究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13.“新乡贤”融入我市乡村治理现代化的机制研究</w:t>
      </w:r>
    </w:p>
    <w:p>
      <w:pPr>
        <w:spacing w:line="360" w:lineRule="auto"/>
        <w:jc w:val="center"/>
        <w:rPr>
          <w:rFonts w:ascii="黑体" w:hAnsi="黑体" w:eastAsia="黑体" w:cs="黑体"/>
          <w:sz w:val="32"/>
          <w:szCs w:val="32"/>
        </w:rPr>
      </w:pPr>
      <w:r>
        <w:rPr>
          <w:rFonts w:hint="eastAsia" w:ascii="黑体" w:hAnsi="黑体" w:eastAsia="黑体" w:cs="黑体"/>
          <w:sz w:val="32"/>
          <w:szCs w:val="32"/>
        </w:rPr>
        <w:t>七、文学</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1.习近平总书记对马克思主义文艺理论的贡献研究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2.习近平总书记文艺工作系列讲话精神指导下的新时代文学实践研究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3.宜春红色文化推广研究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4.中国现代楹联文学研究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5.新时代中国特色社会主义文艺发展中的重大理论问题研究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6.改革开放以来文学研究中重大理论问题史料整理与研究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7.互联网时代媒介融合与文艺形式、文艺传播研究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8.宜春支持民办文化场馆发展的对策研究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9.宜春非遗文化价值及保护研究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10.宜春古代书院文化遗产抢救与保护传承体系研究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11.文化自信与宜春文脉传承发展研究</w:t>
      </w:r>
    </w:p>
    <w:p>
      <w:pPr>
        <w:spacing w:line="360" w:lineRule="auto"/>
        <w:jc w:val="center"/>
        <w:rPr>
          <w:rFonts w:ascii="黑体" w:hAnsi="黑体" w:eastAsia="黑体" w:cs="黑体"/>
          <w:sz w:val="32"/>
          <w:szCs w:val="32"/>
        </w:rPr>
      </w:pPr>
      <w:r>
        <w:rPr>
          <w:rFonts w:hint="eastAsia" w:ascii="黑体" w:hAnsi="黑体" w:eastAsia="黑体" w:cs="黑体"/>
          <w:sz w:val="32"/>
          <w:szCs w:val="32"/>
        </w:rPr>
        <w:t>八、艺术学</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1.习近平新时代中国特色社会主义文化艺术重要论述研究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2.美术交流与人类命运共同体建构研究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3.红色音乐文化研究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4.宜春特色美术遗产的发掘与整理</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5.宜春古戏台研究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6.基于音乐社会学视域下的宜春红色音乐思想研究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7.宜春市传统村落乡村旅游建设与管理研究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8.宜春茶疗养生的文化内涵及其传承保护探究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9.宜春百年红色题材绘画研究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10.乡村振兴战略视域下宜春戏曲非遗传承研究</w:t>
      </w:r>
    </w:p>
    <w:p>
      <w:pPr>
        <w:spacing w:line="360" w:lineRule="auto"/>
        <w:jc w:val="center"/>
        <w:rPr>
          <w:rFonts w:ascii="黑体" w:hAnsi="黑体" w:eastAsia="黑体" w:cs="黑体"/>
          <w:sz w:val="32"/>
          <w:szCs w:val="32"/>
        </w:rPr>
      </w:pPr>
      <w:r>
        <w:rPr>
          <w:rFonts w:hint="eastAsia" w:ascii="黑体" w:hAnsi="黑体" w:eastAsia="黑体" w:cs="黑体"/>
          <w:sz w:val="32"/>
          <w:szCs w:val="32"/>
        </w:rPr>
        <w:t>九、教育学•心理学</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1.中国共产党百年教育方针研究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2.乡村振兴和教育现代化背景下农村教育发展战略研究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3.义务教育学业负担综合治理研究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4.新时代教育公平的重点问题与政策体系研究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5.线上与线下教育融合难点与突破路径研究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6.服务全民终身学习视域下社区教育体系研究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7.高校毕业生就业与产业需求对接研究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8.“大变局时代”大学生主流意识形态认同与教育保障机制研究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9.宜春特殊学校教育发展研究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10.推动宜春高质量职业教育体系研究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11.立德树人与道德教育研究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12.家校协同视域下青少年心理健康问题的预防及干预机制研究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13.把美育教育融入小学教育培养全过程的实践路径研究</w:t>
      </w:r>
    </w:p>
    <w:p>
      <w:pPr>
        <w:spacing w:line="360" w:lineRule="auto"/>
        <w:jc w:val="center"/>
        <w:rPr>
          <w:rFonts w:ascii="黑体" w:hAnsi="黑体" w:eastAsia="黑体" w:cs="黑体"/>
          <w:sz w:val="32"/>
          <w:szCs w:val="32"/>
        </w:rPr>
      </w:pPr>
      <w:r>
        <w:rPr>
          <w:rFonts w:hint="eastAsia" w:ascii="黑体" w:hAnsi="黑体" w:eastAsia="黑体" w:cs="黑体"/>
          <w:sz w:val="32"/>
          <w:szCs w:val="32"/>
        </w:rPr>
        <w:t>十、体育学</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1.习近平总书记关于体育工作重要论述的系统研究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2.构建满足人民群众需求的高水平全民健身公共服务体系研究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3.体育与健康宜春建设研究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4.“体教融合”视域下宜春市竞技体育发展路径的探索与研究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5.体育与生态文明协同发展研究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6.新时代人民的体育需求与体育发展不平衡、不充分的矛盾研究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7.红色体育文化资源传承利用研究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8.新时代宜春市农村“休闲+体育”产业模式创新研究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9.青少年体质健康促进研究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10.持续深化健康宜春建设发展研究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11.体育强国建设背景下的群众体育实践新模式构建研究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12.老年人体育健康促进的治理研究</w:t>
      </w:r>
    </w:p>
    <w:p>
      <w:pPr>
        <w:spacing w:line="360" w:lineRule="auto"/>
        <w:jc w:val="center"/>
        <w:rPr>
          <w:rFonts w:ascii="黑体" w:hAnsi="黑体" w:eastAsia="黑体" w:cs="黑体"/>
          <w:sz w:val="32"/>
          <w:szCs w:val="32"/>
        </w:rPr>
      </w:pPr>
      <w:r>
        <w:rPr>
          <w:rFonts w:hint="eastAsia" w:ascii="黑体" w:hAnsi="黑体" w:eastAsia="黑体" w:cs="黑体"/>
          <w:sz w:val="32"/>
          <w:szCs w:val="32"/>
        </w:rPr>
        <w:t>十一、新闻传播学</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1.习近平总书记关于互联网发展与治理的重要论述研究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2.做强新型主流媒体研究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3.融媒时代主流媒体的内容生产与表达手段创新</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4.社交媒体参与抗疫社会动员中的群体效应研究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5.大数据支持下网络谣言的智慧治理问题研究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6.新媒体与乡村振兴传播研究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7.直播带货与精准扶贫效果研究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8.大数据时代我市社科普及面临的机遇、困境及对策研究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9.微短视频与红色文化传播研究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10.宜春优秀传统文化的对外传播研究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11.宜春市非遗文化对外传播研究</w:t>
      </w:r>
    </w:p>
    <w:p>
      <w:pPr>
        <w:spacing w:line="360" w:lineRule="auto"/>
        <w:jc w:val="center"/>
        <w:rPr>
          <w:rFonts w:ascii="黑体" w:hAnsi="黑体" w:eastAsia="黑体" w:cs="黑体"/>
          <w:sz w:val="32"/>
          <w:szCs w:val="32"/>
        </w:rPr>
      </w:pPr>
      <w:r>
        <w:rPr>
          <w:rFonts w:hint="eastAsia" w:ascii="黑体" w:hAnsi="黑体" w:eastAsia="黑体" w:cs="黑体"/>
          <w:sz w:val="32"/>
          <w:szCs w:val="32"/>
        </w:rPr>
        <w:t>十二、图书情报学</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1.协同共治视角下图书馆推进开放科学的服务模式构建及其实现路径</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2.新《档案法》背景下档案服务能力提升研究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3.非物质文化遗产档案资源跨机构集成研究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4.公共数字文化服务可及性研究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5.突发公共事件中的数据安全与隐私保护研究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6.我市公共图书馆服务理论研究与实践发展路径分析</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7.数字智能化技术对社会科学研究方法的促进作用</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8.新时代宜春公共图书馆事业发展经验和高质量发展路径探索</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9.多元主体协同视角下宜春全民阅读推广服务体系构建研究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10.宜春文献通考整理与研究</w:t>
      </w:r>
    </w:p>
    <w:p>
      <w:pPr>
        <w:spacing w:line="360" w:lineRule="auto"/>
        <w:jc w:val="center"/>
        <w:rPr>
          <w:rFonts w:ascii="黑体" w:hAnsi="黑体" w:eastAsia="黑体" w:cs="黑体"/>
          <w:sz w:val="32"/>
          <w:szCs w:val="32"/>
        </w:rPr>
      </w:pPr>
      <w:r>
        <w:rPr>
          <w:rFonts w:hint="eastAsia" w:ascii="黑体" w:hAnsi="黑体" w:eastAsia="黑体" w:cs="黑体"/>
          <w:sz w:val="32"/>
          <w:szCs w:val="32"/>
        </w:rPr>
        <w:t>十三、历史学</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1.中国共产党建党百年与中华民族复兴进程研究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2.当代中国化马克思主义历史理论研究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3.中华民族共同体不同历史时期的民族观念研究</w:t>
      </w:r>
      <w:bookmarkStart w:id="0" w:name="_GoBack"/>
      <w:bookmarkEnd w:id="0"/>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4.中国历代社会的经济结构及其演变研究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5.历史时期重大疾疫及社会应对综合研究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6.宜春古村落历史文化挖掘与提炼研究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7.宜春重要考古遗址、墓葬及出土文字资料的整理与研究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8.宜春工业考古与工业遗产保护研究</w:t>
      </w:r>
    </w:p>
    <w:p>
      <w:pPr>
        <w:spacing w:line="360" w:lineRule="auto"/>
        <w:jc w:val="center"/>
        <w:rPr>
          <w:rFonts w:ascii="黑体" w:hAnsi="黑体" w:eastAsia="黑体" w:cs="黑体"/>
          <w:sz w:val="32"/>
          <w:szCs w:val="32"/>
        </w:rPr>
      </w:pPr>
      <w:r>
        <w:rPr>
          <w:rFonts w:hint="eastAsia" w:ascii="黑体" w:hAnsi="黑体" w:eastAsia="黑体" w:cs="黑体"/>
          <w:sz w:val="32"/>
          <w:szCs w:val="32"/>
        </w:rPr>
        <w:t>十四、管理学</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1.市社科人才队伍建设现状与优化对策研究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2.乡村振兴战略背景下精准扶贫成果的巩固与提升策略研究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3.我市社科类学会发展现状、困境及对策研究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4.数字经济背景下我市公共服务体系构建与优化研究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5.提升我市公共文化服务水平研究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6.加快推进我市特色文化街区建设的对策研究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7.构建具有宜春特色的生态环境治理体系研究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8.健全我市多层次社会保障体系研究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9.深入推进信访工作制度改革，加强信访法治化建设</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10.加快构建共建共享的基层社会治理新格局研究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11.文化和旅游融合发展的体制机制创新研究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12.实施宜春文化产业数字化战略研究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13.宜春文化产业高质量发展推进文化强市研究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14.生活垃圾分类收集对策探讨</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15.宜春市吸引大学生返乡创业赋能乡村产业振兴的长效机制建设研究</w:t>
      </w:r>
    </w:p>
    <w:p>
      <w:pPr>
        <w:spacing w:line="360" w:lineRule="auto"/>
        <w:jc w:val="center"/>
        <w:rPr>
          <w:rFonts w:ascii="黑体" w:hAnsi="黑体" w:eastAsia="黑体" w:cs="黑体"/>
          <w:sz w:val="32"/>
          <w:szCs w:val="32"/>
        </w:rPr>
      </w:pPr>
      <w:r>
        <w:rPr>
          <w:rFonts w:hint="eastAsia" w:ascii="黑体" w:hAnsi="黑体" w:eastAsia="黑体" w:cs="黑体"/>
          <w:sz w:val="32"/>
          <w:szCs w:val="32"/>
        </w:rPr>
        <w:t>十五、医疗改革</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1.“十四五”时期多层次公共医疗卫生服务体系构建及运行效率研究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2.疫情防控常态化背景下的医务社会工作研究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3.智慧医疗背景下老年人服务可及性研究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4.宜春建立高质量整合型医疗健康服务体系的对策研究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5.宜春医疗卫生水平提质研究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6.宜春市优化生育实施对策研究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7.推进宜春智慧养老高质量发展对策研究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8.优化“医疗资源共享”基层服务体系研究</w:t>
      </w:r>
    </w:p>
    <w:p>
      <w:pPr>
        <w:spacing w:line="360" w:lineRule="auto"/>
        <w:jc w:val="center"/>
        <w:rPr>
          <w:rFonts w:ascii="黑体" w:hAnsi="黑体" w:eastAsia="黑体" w:cs="黑体"/>
          <w:sz w:val="32"/>
          <w:szCs w:val="32"/>
        </w:rPr>
      </w:pPr>
      <w:r>
        <w:rPr>
          <w:rFonts w:hint="eastAsia" w:ascii="黑体" w:hAnsi="黑体" w:eastAsia="黑体" w:cs="黑体"/>
          <w:sz w:val="32"/>
          <w:szCs w:val="32"/>
        </w:rPr>
        <w:t>十六、国家安全</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1.总体国家安全观政治安全政策研究</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2.意识形态领域国家安全体系和能力建设</w:t>
      </w:r>
    </w:p>
    <w:p>
      <w:pPr>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3.经济和金融领域国家安全体系和能力建设</w:t>
      </w:r>
    </w:p>
    <w:p>
      <w:r>
        <w:rPr>
          <w:rFonts w:hint="eastAsia" w:ascii="仿宋_GB2312" w:hAnsi="仿宋_GB2312" w:eastAsia="仿宋_GB2312" w:cs="仿宋_GB2312"/>
          <w:sz w:val="32"/>
          <w:szCs w:val="32"/>
        </w:rPr>
        <w:t>4.社会和公共领域国家安全工作</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0000000000000000000"/>
    <w:charset w:val="86"/>
    <w:family w:val="script"/>
    <w:pitch w:val="default"/>
    <w:sig w:usb0="00000000" w:usb1="00000000" w:usb2="00000000" w:usb3="00000000" w:csb0="00040000"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D446AF"/>
    <w:rsid w:val="5BD446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2022-03-11T01:19:00Z</dcterms:created>
  <dc:creator>！！</dc:creator>
  <cp:lastModifiedBy>！！</cp:lastModifiedBy>
  <dcterms:modified xsi:type="dcterms:W3CDTF">2022-03-11T01:27:30Z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18B8589D321A41C6B98826002C480874</vt:lpwstr>
  </property>
</Properties>
</file>