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600" w:lineRule="exact"/>
        <w:jc w:val="both"/>
        <w:rPr>
          <w:rFonts w:ascii="黑体" w:hAnsi="黑体" w:eastAsia="黑体"/>
          <w:sz w:val="44"/>
          <w:szCs w:val="44"/>
        </w:rPr>
      </w:pPr>
    </w:p>
    <w:p>
      <w:pPr>
        <w:spacing w:after="0" w:line="600" w:lineRule="exact"/>
        <w:jc w:val="center"/>
        <w:rPr>
          <w:rFonts w:ascii="黑体" w:hAnsi="黑体" w:eastAsia="黑体"/>
          <w:sz w:val="44"/>
          <w:szCs w:val="44"/>
        </w:rPr>
      </w:pPr>
      <w:r>
        <w:rPr>
          <w:rFonts w:hint="eastAsia" w:ascii="黑体" w:hAnsi="黑体" w:eastAsia="黑体"/>
          <w:sz w:val="44"/>
          <w:szCs w:val="44"/>
        </w:rPr>
        <w:t>2022年智库峰会研究项目选题</w:t>
      </w:r>
    </w:p>
    <w:p>
      <w:pPr>
        <w:spacing w:after="0" w:line="600" w:lineRule="exact"/>
        <w:ind w:firstLine="880" w:firstLineChars="200"/>
        <w:jc w:val="both"/>
        <w:rPr>
          <w:rFonts w:ascii="黑体" w:hAnsi="黑体" w:eastAsia="黑体"/>
          <w:sz w:val="44"/>
          <w:szCs w:val="44"/>
        </w:rPr>
      </w:pP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1.抢占数字经济产业赛道 助推江西数字经济做优做强“一号发展工程”对策研究（高质量发展研究中心承担）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2.高质量实施江西营商环境优化升级“一号改革工程”对策研究（高质量发展研究中心承担）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3.江西“元宇宙”产业发展布局分析及对策研究（科技创新战略研究院承担）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4.把脉江西新能源前景  建设全球新能源新材料产业集聚区策略研究（科技创新战略研究院承担）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5.江西做优做强电子信息特色优势产业集群对策研究（科技创新战略研究院承担）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6.江西深入推进鄱阳湖国家自主创新示范区建设现状及对策研究（区域发展研究院承担）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7.先进陶瓷产业助推景德镇国家陶瓷文化传承创新试验区发展对策研究（中国陶瓷发展研究院承担）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8.江西打造新时代乡村振兴样板之地策略研究（乡村振兴战略研究院承担）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9.规划建设赣粤赣浙运河助力江西高质量跨越式发展对策研究（高铁发展研究中心承担）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10.江西高质量建设全国红色基因传承示范区突破路径研究（新时代党建创新与江西实践研究所承担）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11.加速布局碳双控  推进江西低碳零碳负碳产业发展现状及对策研究（生态文明研究院承担）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12.新时代江西深入推动赣南等原中央苏区振兴发展新举措新机制研究（苏区振兴研究院承担）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13.江西产业从制造到“智造”数字化转型策略研究（现代产业发展研究院承担）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14.紧抓全球稀土产业链格局剧变契机  做大做强我省稀土全产业链对策研究（有色金属产业发展研究院承担）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15.数字化赋能江西文化产业高质量发展路径研究（文化强省建设研究中心承担）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16.江西推进民用飞机产业基础高级化与产业链现代化现状及路径研究（军民融合与航空发展研究院承担）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17.江西抢抓长江中游三省协同发展机遇  打造全国区域经济发展重要增长极策略研究（现代服务业发展研究院承担）</w:t>
      </w:r>
    </w:p>
    <w:p>
      <w:pPr>
        <w:spacing w:after="0" w:line="600" w:lineRule="exact"/>
        <w:ind w:firstLine="640" w:firstLineChars="200"/>
        <w:jc w:val="both"/>
        <w:rPr>
          <w:rFonts w:ascii="仿宋_GB2312" w:eastAsia="仿宋_GB2312"/>
          <w:sz w:val="32"/>
          <w:szCs w:val="32"/>
        </w:rPr>
      </w:pPr>
    </w:p>
    <w:p>
      <w:pPr>
        <w:spacing w:after="0" w:line="600" w:lineRule="exact"/>
        <w:ind w:firstLine="640" w:firstLineChars="200"/>
        <w:jc w:val="both"/>
        <w:rPr>
          <w:rFonts w:ascii="仿宋_GB2312" w:eastAsia="仿宋_GB2312"/>
          <w:sz w:val="32"/>
          <w:szCs w:val="32"/>
        </w:rPr>
      </w:pPr>
    </w:p>
    <w:p>
      <w:pPr>
        <w:spacing w:after="0" w:line="600" w:lineRule="exact"/>
        <w:ind w:firstLine="640" w:firstLineChars="200"/>
        <w:jc w:val="both"/>
        <w:rPr>
          <w:rFonts w:ascii="仿宋_GB2312" w:eastAsia="仿宋_GB2312"/>
          <w:sz w:val="32"/>
          <w:szCs w:val="32"/>
        </w:rPr>
      </w:pPr>
    </w:p>
    <w:p>
      <w:pPr>
        <w:spacing w:after="0" w:line="600" w:lineRule="exact"/>
        <w:ind w:firstLine="640" w:firstLineChars="200"/>
        <w:jc w:val="both"/>
        <w:rPr>
          <w:rFonts w:ascii="仿宋_GB2312" w:eastAsia="仿宋_GB2312"/>
          <w:sz w:val="32"/>
          <w:szCs w:val="32"/>
        </w:rPr>
      </w:pPr>
    </w:p>
    <w:p>
      <w:pPr>
        <w:spacing w:after="0" w:line="600" w:lineRule="exact"/>
        <w:ind w:firstLine="640" w:firstLineChars="200"/>
        <w:jc w:val="both"/>
        <w:rPr>
          <w:rFonts w:ascii="仿宋_GB2312" w:eastAsia="仿宋_GB2312"/>
          <w:sz w:val="32"/>
          <w:szCs w:val="32"/>
        </w:rPr>
      </w:pPr>
    </w:p>
    <w:p>
      <w:pPr>
        <w:spacing w:after="0" w:line="600" w:lineRule="exact"/>
        <w:jc w:val="both"/>
        <w:rPr>
          <w:rFonts w:hint="eastAsia" w:ascii="仿宋_GB2312" w:eastAsia="仿宋_GB2312"/>
          <w:b/>
          <w:sz w:val="32"/>
          <w:szCs w:val="32"/>
        </w:rPr>
      </w:pPr>
    </w:p>
    <w:p>
      <w:pPr>
        <w:spacing w:after="0" w:line="600" w:lineRule="exact"/>
        <w:jc w:val="both"/>
        <w:rPr>
          <w:rFonts w:hint="eastAsia" w:ascii="仿宋_GB2312" w:eastAsia="仿宋_GB2312"/>
          <w:b/>
          <w:sz w:val="32"/>
          <w:szCs w:val="32"/>
        </w:rPr>
      </w:pPr>
    </w:p>
    <w:p>
      <w:pPr>
        <w:spacing w:after="0" w:line="600" w:lineRule="exact"/>
        <w:ind w:firstLine="640" w:firstLineChars="200"/>
        <w:jc w:val="both"/>
        <w:rPr>
          <w:rFonts w:ascii="仿宋_GB2312" w:eastAsia="仿宋_GB2312"/>
          <w:sz w:val="32"/>
          <w:szCs w:val="32"/>
        </w:rPr>
      </w:pPr>
    </w:p>
    <w:p>
      <w:pPr>
        <w:spacing w:after="0" w:line="600" w:lineRule="exact"/>
        <w:jc w:val="center"/>
        <w:rPr>
          <w:rFonts w:ascii="黑体" w:hAnsi="黑体" w:eastAsia="黑体"/>
          <w:sz w:val="44"/>
          <w:szCs w:val="44"/>
        </w:rPr>
      </w:pPr>
      <w:bookmarkStart w:id="0" w:name="_GoBack"/>
      <w:bookmarkEnd w:id="0"/>
      <w:r>
        <w:rPr>
          <w:rFonts w:hint="eastAsia" w:ascii="黑体" w:hAnsi="黑体" w:eastAsia="黑体"/>
          <w:sz w:val="44"/>
          <w:szCs w:val="44"/>
        </w:rPr>
        <w:t>2022年智库研究年度项目选题</w:t>
      </w:r>
    </w:p>
    <w:p>
      <w:pPr>
        <w:spacing w:after="0" w:line="600" w:lineRule="exact"/>
        <w:ind w:firstLine="640" w:firstLineChars="200"/>
        <w:jc w:val="both"/>
        <w:rPr>
          <w:rFonts w:ascii="仿宋_GB2312" w:eastAsia="仿宋_GB2312"/>
          <w:sz w:val="32"/>
          <w:szCs w:val="32"/>
        </w:rPr>
      </w:pP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1.零碳新时代江西储能发展路径研究（科技创新战略研究院承担）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2.数字经济领先省份的发展路径及其对江西启示研究（科技创新战略研究院承担）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3.提升县域科技创新能力  助力创新江西建设对策研究（科技创新战略研究院承担）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4.江西战略性新兴产业供应链安全预警及对策研究（现代产业发展研究院承担）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5.江西破解非公有制经济发展瓶颈难题对策研究（区域发展研究院承担）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6.高标准推进国家级互联网骨干直联点建设 助推江西数字经济做优做强对策研究（区域发展研究院承担）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7.江西打造百亿企业方阵、千亿企业集团、万亿产业集群的接续路径研究（区域发展研究院承担）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8.对接RCEP加快推动江西内陆开放型经济试验区建设策略研究（高质量发展研究中心承担）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9.江西园区（开发区）碳达峰模式与低碳集约发展路径研究（高质量发展研究中心承担）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10.依托“中国稀金谷”构建深赣港产业转移合作园区对策研究（有色金属产业发展研究院承担）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11.“双碳”背景下江西有色金属产业向清洁能源领域延伸路径研究（有色金属产业发展研究院承担）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12.推动资本市场服务江西文化产业高质量发展研究（文化强省建设研究中心承担）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13.江西数字文化产业新兴业态发展研究（文化强省建设研究中心承担）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14.推动江西文化产业集群发展对策研究（文化强省建设研究中心承担）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15.江西传统村落文旅产融合发展现状、问题与对策研究（文化强省建设研究中心承担）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16.赣南原中央苏区红色旅游与文化产业协同发展创新探索研究（文化强省建设研究中心承担）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17.利用海昏侯文化IP构建产业生态研究（文化强省建设研究中心承担）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18.江西构建自治、法治、德治相结合的乡村善治体系策略研究（乡村振兴战略研究院承担）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19.数字经济赋能江西乡村产业振兴模式与路径研究（乡村振兴战略研究院承担）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20.欧美技术限制对江西航空产业链冲击与风险防范研究（军民融合与航空发展研究院承担）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21.低空空域改革背景下江西低空经济发展现状及对策研究（军民融合与航空发展研究院承担）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22.江西现代服务业协同推进双“一号工程”实施模式研究（现代服务业发展研究院承担）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23.国内强省会的典型特征及江西强省会战略实施路径研究（现代服务业发展研究院承担）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24.景德镇打造世界著名陶瓷文化旅游目的地对策研究（中国陶瓷发展研究院承担）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25.景德镇陶瓷文化保护传承创新对策研究（中国陶瓷发展研究院承担）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26.“双碳”目标下革命老区生态文明建设模式与路径研究（苏区振兴研究院承担）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27.江西数字文化产业高层次人才队伍建设现状、短板及对策研究（苏区振兴研究院承担）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28.江西以创建中医药改革示范区为契机  打造国内领先、世界知名的中医药强省策略研究（中医药与大健康发展研究院承担）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29.加快推进江西中医药特色国家区域医疗中心建设突破路径研究（中医药与大健康发展研究院承担）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30.江西推进“互联网+第四方物流”供销集配体系建设现状及对策研究（高铁发展研究中心承担）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31.新时代江西健全现代流通体系的实现路径研究（高铁发展研究中心承担）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32.新时代江西在推进革命老区共同富裕上“作示范”策略研究（新时代党建创新与江西实践研究所承担）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33.江西打造天下英才重要首选地现状、短板及对策研究（新时代党建创新与江西实践研究所承担）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34.江西加快生态产品价值实现多元化路径研究（生态文明研究院承担）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35.江西零碳、碳中和示范典型案例研究（生态文明研究院承担）</w:t>
      </w:r>
    </w:p>
    <w:p>
      <w:pPr>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36.江西建设碳汇交易市场现状、短板及对策研究（生态文明研究院承担）</w:t>
      </w:r>
    </w:p>
    <w:sectPr>
      <w:footerReference r:id="rId5" w:type="default"/>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_GBK">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518668"/>
      <w:docPartObj>
        <w:docPartGallery w:val="AutoText"/>
      </w:docPartObj>
    </w:sdtPr>
    <w:sdtContent>
      <w:p>
        <w:pPr>
          <w:pStyle w:val="2"/>
          <w:jc w:val="center"/>
        </w:pPr>
        <w:r>
          <w:fldChar w:fldCharType="begin"/>
        </w:r>
        <w:r>
          <w:instrText xml:space="preserve"> PAGE   \* MERGEFORMAT </w:instrText>
        </w:r>
        <w:r>
          <w:fldChar w:fldCharType="separate"/>
        </w:r>
        <w:r>
          <w:rPr>
            <w:lang w:val="zh-CN"/>
          </w:rPr>
          <w:t>9</w:t>
        </w:r>
        <w:r>
          <w:rPr>
            <w:lang w:val="zh-CN"/>
          </w:rPr>
          <w:fldChar w:fldCharType="end"/>
        </w:r>
      </w:p>
    </w:sdtContent>
  </w:sdt>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D31D50"/>
    <w:rsid w:val="00010CAA"/>
    <w:rsid w:val="00044A52"/>
    <w:rsid w:val="000B282E"/>
    <w:rsid w:val="001028E4"/>
    <w:rsid w:val="00112393"/>
    <w:rsid w:val="001319B1"/>
    <w:rsid w:val="001673CC"/>
    <w:rsid w:val="001A6C5C"/>
    <w:rsid w:val="001D6186"/>
    <w:rsid w:val="00202A62"/>
    <w:rsid w:val="00235BE7"/>
    <w:rsid w:val="002552F2"/>
    <w:rsid w:val="002B08E3"/>
    <w:rsid w:val="00307236"/>
    <w:rsid w:val="00323B43"/>
    <w:rsid w:val="003D37D8"/>
    <w:rsid w:val="003F4CFC"/>
    <w:rsid w:val="00426133"/>
    <w:rsid w:val="004358AB"/>
    <w:rsid w:val="0045739C"/>
    <w:rsid w:val="00463207"/>
    <w:rsid w:val="004F39EB"/>
    <w:rsid w:val="00556C70"/>
    <w:rsid w:val="005A3EF6"/>
    <w:rsid w:val="005C6A00"/>
    <w:rsid w:val="006932D2"/>
    <w:rsid w:val="006968BC"/>
    <w:rsid w:val="006A74CD"/>
    <w:rsid w:val="006B01D0"/>
    <w:rsid w:val="006B5647"/>
    <w:rsid w:val="007279C5"/>
    <w:rsid w:val="007668B0"/>
    <w:rsid w:val="00812F64"/>
    <w:rsid w:val="00837E06"/>
    <w:rsid w:val="00884BE5"/>
    <w:rsid w:val="008B0BD6"/>
    <w:rsid w:val="008B7726"/>
    <w:rsid w:val="008E7D0E"/>
    <w:rsid w:val="00906695"/>
    <w:rsid w:val="00945C5A"/>
    <w:rsid w:val="00954DE0"/>
    <w:rsid w:val="00991536"/>
    <w:rsid w:val="009A378E"/>
    <w:rsid w:val="009B2060"/>
    <w:rsid w:val="00A62462"/>
    <w:rsid w:val="00A62B77"/>
    <w:rsid w:val="00AD3A30"/>
    <w:rsid w:val="00AF154F"/>
    <w:rsid w:val="00B34DCA"/>
    <w:rsid w:val="00B559B2"/>
    <w:rsid w:val="00C036F9"/>
    <w:rsid w:val="00C328C1"/>
    <w:rsid w:val="00CA46DF"/>
    <w:rsid w:val="00CA4972"/>
    <w:rsid w:val="00CC11A5"/>
    <w:rsid w:val="00D3060D"/>
    <w:rsid w:val="00D30C56"/>
    <w:rsid w:val="00D31D50"/>
    <w:rsid w:val="00D7068E"/>
    <w:rsid w:val="00DB430B"/>
    <w:rsid w:val="00E44587"/>
    <w:rsid w:val="00E61292"/>
    <w:rsid w:val="00F0759E"/>
    <w:rsid w:val="00F66002"/>
    <w:rsid w:val="00F97F0C"/>
    <w:rsid w:val="00FE2589"/>
    <w:rsid w:val="00FF78A5"/>
    <w:rsid w:val="04521F48"/>
    <w:rsid w:val="257759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jc w:val="center"/>
    </w:pPr>
    <w:rPr>
      <w:sz w:val="18"/>
      <w:szCs w:val="18"/>
    </w:rPr>
  </w:style>
  <w:style w:type="character" w:customStyle="1" w:styleId="6">
    <w:name w:val="页眉 Char"/>
    <w:basedOn w:val="5"/>
    <w:link w:val="3"/>
    <w:semiHidden/>
    <w:uiPriority w:val="99"/>
    <w:rPr>
      <w:rFonts w:ascii="Tahoma" w:hAnsi="Tahoma"/>
      <w:sz w:val="18"/>
      <w:szCs w:val="18"/>
    </w:rPr>
  </w:style>
  <w:style w:type="character" w:customStyle="1" w:styleId="7">
    <w:name w:val="页脚 Char"/>
    <w:basedOn w:val="5"/>
    <w:link w:val="2"/>
    <w:uiPriority w:val="99"/>
    <w:rPr>
      <w:rFonts w:ascii="Tahoma" w:hAnsi="Tahoma"/>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2083</Words>
  <Characters>2181</Characters>
  <Lines>25</Lines>
  <Paragraphs>7</Paragraphs>
  <TotalTime>41</TotalTime>
  <ScaleCrop>false</ScaleCrop>
  <LinksUpToDate>false</LinksUpToDate>
  <CharactersWithSpaces>2195</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七</cp:lastModifiedBy>
  <cp:lastPrinted>2022-05-05T08:43:00Z</cp:lastPrinted>
  <dcterms:modified xsi:type="dcterms:W3CDTF">2022-05-06T02:17:09Z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78B1AD3D334F490C9928F7667E8E60A7</vt:lpwstr>
  </property>
</Properties>
</file>