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jc w:val="center"/>
        <w:rPr>
          <w:rFonts w:hint="eastAsia" w:ascii="方正小标宋简体" w:hAnsi="Times New Roman" w:eastAsia="方正小标宋简体" w:cs="仿宋_GB2312"/>
          <w:sz w:val="36"/>
          <w:szCs w:val="36"/>
        </w:rPr>
      </w:pPr>
    </w:p>
    <w:p>
      <w:pPr>
        <w:jc w:val="center"/>
        <w:rPr>
          <w:rFonts w:hint="eastAsia" w:ascii="方正小标宋简体" w:hAnsi="Times New Roman" w:eastAsia="方正小标宋简体" w:cs="仿宋_GB2312"/>
          <w:sz w:val="36"/>
          <w:szCs w:val="36"/>
        </w:rPr>
      </w:pPr>
      <w:r>
        <w:rPr>
          <w:rFonts w:hint="eastAsia" w:ascii="方正小标宋简体" w:hAnsi="Times New Roman" w:eastAsia="方正小标宋简体" w:cs="仿宋_GB2312"/>
          <w:sz w:val="36"/>
          <w:szCs w:val="36"/>
        </w:rPr>
        <w:t>202</w:t>
      </w:r>
      <w:r>
        <w:rPr>
          <w:rFonts w:hint="eastAsia" w:ascii="方正小标宋简体" w:hAnsi="Times New Roman" w:eastAsia="方正小标宋简体" w:cs="仿宋_GB2312"/>
          <w:sz w:val="36"/>
          <w:szCs w:val="36"/>
          <w:lang w:val="en-US" w:eastAsia="zh-CN"/>
        </w:rPr>
        <w:t>2</w:t>
      </w:r>
      <w:r>
        <w:rPr>
          <w:rFonts w:hint="eastAsia" w:ascii="方正小标宋简体" w:hAnsi="Times New Roman" w:eastAsia="方正小标宋简体" w:cs="仿宋_GB2312"/>
          <w:sz w:val="36"/>
          <w:szCs w:val="36"/>
        </w:rPr>
        <w:t>年度江西省发展改革委经济社会发展专项课题</w:t>
      </w:r>
    </w:p>
    <w:p>
      <w:pPr>
        <w:jc w:val="center"/>
        <w:rPr>
          <w:rFonts w:hint="eastAsia" w:ascii="方正小标宋简体" w:hAnsi="Times New Roman" w:eastAsia="方正小标宋简体"/>
          <w:sz w:val="36"/>
          <w:szCs w:val="36"/>
        </w:rPr>
      </w:pPr>
      <w:r>
        <w:rPr>
          <w:rFonts w:hint="eastAsia" w:ascii="方正小标宋简体" w:hAnsi="Times New Roman" w:eastAsia="方正小标宋简体" w:cs="仿宋_GB2312"/>
          <w:sz w:val="36"/>
          <w:szCs w:val="36"/>
        </w:rPr>
        <w:t>选题指南</w:t>
      </w:r>
    </w:p>
    <w:p>
      <w:pPr>
        <w:spacing w:line="600" w:lineRule="exact"/>
        <w:ind w:firstLine="640" w:firstLineChars="200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本指南是课题研究方向和主要内容的基本要求，是组织课题研究、制定研究大纲及对研</w:t>
      </w:r>
      <w:bookmarkStart w:id="0" w:name="_GoBack"/>
      <w:bookmarkEnd w:id="0"/>
      <w:r>
        <w:rPr>
          <w:rFonts w:hint="eastAsia" w:ascii="仿宋_GB2312" w:hAnsi="仿宋_GB2312" w:eastAsia="仿宋_GB2312"/>
          <w:sz w:val="32"/>
        </w:rPr>
        <w:t>究成果进行评审验收的重要依据。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1.</w:t>
      </w:r>
      <w:r>
        <w:rPr>
          <w:rFonts w:hint="eastAsia" w:ascii="楷体_GB2312" w:eastAsia="楷体_GB2312" w:cs="Times New Roman"/>
          <w:b/>
          <w:sz w:val="32"/>
          <w:szCs w:val="32"/>
        </w:rPr>
        <w:t>全面建设社会主义现代化江西的内涵、特征和策略研究</w:t>
      </w:r>
      <w:r>
        <w:rPr>
          <w:rFonts w:hint="eastAsia" w:ascii="楷体_GB2312" w:hAnsi="仿宋_GB2312" w:eastAsia="楷体_GB2312" w:cs="仿宋_GB2312"/>
          <w:b/>
          <w:bCs/>
          <w:sz w:val="32"/>
          <w:szCs w:val="32"/>
        </w:rPr>
        <w:t>（重点项目）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要点：（1）我国全面建设社会主义现代化的具体要求和措施；（2）全面建设社会主义现代化江西的内涵与特征；（3）江西开启建设社会主义现代化新征程的优势与主要挑战；（4）全面建设社会主义现代化江西的主要路径；（5）全面建设社会主义现代化江西的具体举措（政策建议）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2.</w:t>
      </w:r>
      <w:r>
        <w:rPr>
          <w:rFonts w:hint="eastAsia" w:ascii="楷体_GB2312" w:eastAsia="楷体_GB2312" w:cs="Times New Roman"/>
          <w:b/>
          <w:sz w:val="32"/>
          <w:szCs w:val="32"/>
        </w:rPr>
        <w:t>南昌元宇宙试验区发展方向、突破重点和重大举措研究</w:t>
      </w:r>
      <w:r>
        <w:rPr>
          <w:rFonts w:hint="eastAsia" w:ascii="楷体_GB2312" w:hAnsi="仿宋_GB2312" w:eastAsia="楷体_GB2312" w:cs="仿宋_GB2312"/>
          <w:b/>
          <w:bCs/>
          <w:sz w:val="32"/>
          <w:szCs w:val="32"/>
        </w:rPr>
        <w:t>（重点项目）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研究要点：（1）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系统梳理南昌市电子信息产业和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VR产业发展现状；（2）深入分析元宇宙产业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链条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发展趋势和规律性特征；（3）研究提出南昌元宇宙试验区建设思路、重点方向、发展路径和对策建议。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3.城镇化率突破60%后江西新型城镇化的动力研究</w:t>
      </w:r>
      <w:r>
        <w:rPr>
          <w:rFonts w:hint="eastAsia" w:ascii="楷体_GB2312" w:hAnsi="仿宋_GB2312" w:eastAsia="楷体_GB2312" w:cs="仿宋_GB2312"/>
          <w:b/>
          <w:bCs/>
          <w:sz w:val="32"/>
          <w:szCs w:val="32"/>
        </w:rPr>
        <w:t>（重点项目）</w:t>
      </w:r>
    </w:p>
    <w:p>
      <w:pPr>
        <w:spacing w:line="5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研究要点：（1）系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</w:rPr>
        <w:t>统梳理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eastAsia="zh-CN"/>
        </w:rPr>
        <w:t>江西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</w:rPr>
        <w:t>新型城镇化的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eastAsia="zh-CN"/>
        </w:rPr>
        <w:t>发展背景和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</w:rPr>
        <w:t>基本现状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eastAsia="zh-CN"/>
        </w:rPr>
        <w:t>；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val="en-US" w:eastAsia="zh-CN"/>
        </w:rPr>
        <w:t>（2）深入分析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eastAsia="zh-CN"/>
        </w:rPr>
        <w:t>江西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val="en-US" w:eastAsia="zh-CN"/>
        </w:rPr>
        <w:t>新型城镇化的机遇挑战和变动趋势；（3）系统分析各动力因素对我省新型城镇化进程的影响作用，包括但不限于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eastAsia="zh-CN"/>
        </w:rPr>
        <w:t>细分不同类型动力对新型城镇化作用的机理研究，不同动力之间的相互影响等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val="en-US" w:eastAsia="zh-CN"/>
        </w:rPr>
        <w:t>；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</w:rPr>
        <w:t>（4）研究提出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eastAsia="zh-CN"/>
        </w:rPr>
        <w:t>江西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val="en-US" w:eastAsia="zh-CN"/>
        </w:rPr>
        <w:t>新型城镇化的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</w:rPr>
        <w:t>具体路径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eastAsia="zh-CN"/>
        </w:rPr>
        <w:t>和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</w:rPr>
        <w:t>对策建议。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4.江西节能减污降碳协同增效路径研究</w:t>
      </w:r>
      <w:r>
        <w:rPr>
          <w:rFonts w:hint="eastAsia" w:ascii="楷体_GB2312" w:hAnsi="仿宋_GB2312" w:eastAsia="楷体_GB2312" w:cs="仿宋_GB2312"/>
          <w:b/>
          <w:bCs/>
          <w:sz w:val="32"/>
          <w:szCs w:val="32"/>
        </w:rPr>
        <w:t>（重点项目）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 w:eastAsia="zh-CN"/>
        </w:rPr>
        <w:t>研究要点：（1）强化顶层设计：加强政策创新，加强技术创新，加强能力建设提升；细化制定目标任务、管控思路、政策措施；落实减污降碳协同增效各方责任，加快形成局内减污降碳齐抓共管局面；（2）强化源头防控：开展产业碳达峰行动；推进产业结构深度调整；推动能源低碳转型；加快交通运输绿色低碳转型；（3）一体谋划减污降碳协同治理路径：以降碳为重点设计各要素攻坚战略路径；以环境质量改善为导向优化降碳空间布局；探索开展地方与企业减污减碳协同增效行动示范试点；（4）探索构建体制机制：探索构建减污降碳一体谋划、一体部署、一体推进、一体考核制度机制；建立绿色核算体系、绿色责任账户以及生态产品价值实现机制；建立完善减污降碳激励机制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5.绿色金融支撑生态产品价值转化实践及理论研究</w:t>
      </w:r>
      <w:r>
        <w:rPr>
          <w:rFonts w:hint="eastAsia" w:ascii="楷体_GB2312" w:hAnsi="仿宋_GB2312" w:eastAsia="楷体_GB2312" w:cs="仿宋_GB2312"/>
          <w:b/>
          <w:bCs/>
          <w:sz w:val="32"/>
          <w:szCs w:val="32"/>
        </w:rPr>
        <w:t>（重点项目）</w:t>
      </w:r>
    </w:p>
    <w:p>
      <w:pPr>
        <w:spacing w:line="520" w:lineRule="exact"/>
        <w:ind w:firstLine="640" w:firstLineChars="200"/>
        <w:rPr>
          <w:rFonts w:hint="eastAsia" w:ascii="仿宋_GB2312" w:hAnsi="ˎ̥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研究要点：（1</w:t>
      </w:r>
      <w:r>
        <w:rPr>
          <w:rFonts w:hint="eastAsia" w:ascii="仿宋_GB2312" w:hAnsi="ˎ̥" w:eastAsia="仿宋_GB2312" w:cs="Times New Roman"/>
          <w:color w:val="000000"/>
          <w:sz w:val="32"/>
          <w:szCs w:val="32"/>
          <w:lang w:val="en-US" w:eastAsia="zh-CN"/>
        </w:rPr>
        <w:t>）全面把握绿色金融的内涵演进与理论基础。（2）梳理国内外绿色金融支持生态经济化的实践与发展模式。（3）客观分析我省绿色金融支持生态产品价值实现创新与挑战。（4）研究提出推动我省绿色金融助力生态产品价值实现的建议对策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6.江西生态保护补偿立法研究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重点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项目）</w:t>
      </w:r>
    </w:p>
    <w:p>
      <w:pPr>
        <w:spacing w:line="600" w:lineRule="exact"/>
        <w:ind w:firstLine="627" w:firstLineChars="196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研究要点：（1）系统梳理国内外生态保护补偿立法现状，梳理可供借鉴的经验和案例。</w:t>
      </w:r>
      <w:r>
        <w:rPr>
          <w:rFonts w:hint="eastAsia" w:ascii="仿宋_GB2312" w:hAnsi="仿宋_GB2312" w:eastAsia="仿宋_GB2312" w:cs="仿宋_GB2312"/>
          <w:sz w:val="32"/>
          <w:szCs w:val="32"/>
        </w:rPr>
        <w:t>（2）梳理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我省各领域生态补偿进展情况，以及我省涉生态保护补偿相关地方性法律、法规、规章和政策文件等，研究我省生态保护补偿立法的意义和可行性路径</w:t>
      </w:r>
      <w:r>
        <w:rPr>
          <w:rFonts w:hint="eastAsia" w:ascii="仿宋_GB2312" w:hAnsi="仿宋_GB2312" w:eastAsia="仿宋_GB2312" w:cs="仿宋_GB2312"/>
          <w:sz w:val="32"/>
          <w:szCs w:val="32"/>
        </w:rPr>
        <w:t>。（3）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提出我省生态生态保护补偿地方立法的思路、方向和总体框架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7.江西推进构建新型电力系统研究</w:t>
      </w:r>
      <w:r>
        <w:rPr>
          <w:rFonts w:hint="eastAsia" w:ascii="楷体_GB2312" w:hAnsi="仿宋_GB2312" w:eastAsia="楷体_GB2312" w:cs="仿宋_GB2312"/>
          <w:b/>
          <w:bCs/>
          <w:sz w:val="32"/>
          <w:szCs w:val="32"/>
        </w:rPr>
        <w:t>（</w:t>
      </w:r>
      <w:r>
        <w:rPr>
          <w:rFonts w:hint="eastAsia" w:ascii="楷体_GB2312" w:hAnsi="仿宋_GB2312" w:eastAsia="楷体_GB2312" w:cs="仿宋_GB2312"/>
          <w:b/>
          <w:bCs/>
          <w:sz w:val="32"/>
          <w:szCs w:val="32"/>
          <w:lang w:eastAsia="zh-CN"/>
        </w:rPr>
        <w:t>一般</w:t>
      </w:r>
      <w:r>
        <w:rPr>
          <w:rFonts w:hint="eastAsia" w:ascii="楷体_GB2312" w:hAnsi="仿宋_GB2312" w:eastAsia="楷体_GB2312" w:cs="仿宋_GB2312"/>
          <w:b/>
          <w:bCs/>
          <w:sz w:val="32"/>
          <w:szCs w:val="32"/>
        </w:rPr>
        <w:t>项目）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要点：（1）厘清“双碳”背景下新型电力系统建设面临的形势。（2）梳理我省电力系统建设现状，总结我省构建新型电力系统的基础，归纳存在的短板及问题。（3）研究国内外新型电力系统建设的典型经验及启示。（4）论证我省新型电力系统的目标定位、功能设计、实施步骤等。（5）探讨江西构建新型电力系统的重点任务和实施路径。（6）提出我省推进构建新型电力系统的保障建议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8.江西省乡村生态振兴的路径和对策研究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（一般项目）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研究要点：（1）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界定乡村生态振兴基本概念及内涵，梳理省内外典型经验做法；（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梳理总结江西省乡村生态振兴建设成效、现有政策框架和制度安排情况；（3）分析归纳江西省乡村生态振兴领域存在的突出问题及内在原因；（4）研究提出江西省推进乡村生态振兴的总体思路及建设内容，以及在重要措施、政策安排、推进机制等方面的对策建议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9.江西省通航产业发展路径研究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（一般项目）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 w:eastAsia="zh-CN"/>
        </w:rPr>
        <w:t>研究要点：（1）研究通航产业发展空间和通航市场如何培育。（2）调研我省通航产业发展现状。（3）提出我省通航产业发展路径：通航机场布局、通航制造发展方向、通航运营和服务发展领域。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10.江西省生态系统碳库、增汇路径及碳交易推进路径研究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（一般项目）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 w:eastAsia="zh-CN"/>
        </w:rPr>
        <w:t>研究要点：（1）开展农业碳汇体系项目研究：探索建立区域性农业碳汇监测和核算标准；开展农田碳排放与碳吸收的相关研究，深挖农业土壤碳汇的减排潜力；（2）推进林业碳汇开发交易项目：引导地方积极申请参加中国绿色碳基金下的碳汇造林项目；推进碳汇林业基地建设；建立健全碳汇计量监测机构、队伍和管理体系；探索开展森林碳汇交易；（3）探索湿地碳汇示范项目：进一步加强湿地保护区网络建设和配套工程建设；深入开展湿地恢复工程；强化数字赋能，建立并完善对湿地固碳能力的科学计量监测体系；有序推进试点碳汇试点项目开发；（4）推进市场化机制建设：建立健全排污权、用能权、碳排放权等交易机制；积极参与全国碳交易市场建设；鼓励有条件的地方开展国家核证自愿减排（CCER）工作；加强环境能源权益计量、核定和监管；落实企业和金融机构碳排放报告与信息披露制度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11.大数据助力江西数字经济发展的思路和对策研究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（一般项目）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要点：（1）大数据和江西省数字经济基本现状及发展趋势研究。（2）大数据推动江西省传统产业升级改造路径研究。（3）研究提出大数据技术和江西省实体经济深度融合的发展思路和目标。（4）研究提出大数据助力江西省数字经济快速发展对策建议。</w:t>
      </w:r>
    </w:p>
    <w:p>
      <w:pPr>
        <w:spacing w:line="600" w:lineRule="exact"/>
        <w:ind w:firstLine="630" w:firstLineChars="196"/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 w:cs="Times New Roman"/>
          <w:b/>
          <w:sz w:val="32"/>
          <w:szCs w:val="32"/>
          <w:lang w:val="en-US" w:eastAsia="zh-CN"/>
        </w:rPr>
        <w:t>12.江西省节能监察体制机制创新研究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（一般项目）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要点：（1）系统梳理当前我省节能监察体系建设现状，兄弟省份节能监察经验启示；（2）在坚决遏制高耗能、高排、放低水平项目盲目发展背景下，我省推进节能监察工作面临的机遇、存在的主要问题及原因。（3）研究提出我省加强节能监察体系建设在节能法规政策标准、工作机制、规范化执法、能力建设等方面的主要任务。（4）研究提出我省节能监察工作组织领导、风险管控、教育培训等组织保障策略。</w:t>
      </w:r>
    </w:p>
    <w:p/>
    <w:p>
      <w:pPr>
        <w:spacing w:line="600" w:lineRule="exact"/>
        <w:ind w:firstLine="640" w:firstLineChars="200"/>
        <w:rPr>
          <w:rFonts w:hint="eastAsia" w:ascii="仿宋_GB2312" w:hAnsi="仿宋_GB2312" w:eastAsia="仿宋_GB2312"/>
          <w:sz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D27E2D"/>
    <w:rsid w:val="003A0474"/>
    <w:rsid w:val="01DC7BA4"/>
    <w:rsid w:val="04043036"/>
    <w:rsid w:val="064C62D4"/>
    <w:rsid w:val="1BD27E2D"/>
    <w:rsid w:val="39552229"/>
    <w:rsid w:val="4027737A"/>
    <w:rsid w:val="44540DBC"/>
    <w:rsid w:val="4672249C"/>
    <w:rsid w:val="47D5518B"/>
    <w:rsid w:val="4ADC66F6"/>
    <w:rsid w:val="503F616F"/>
    <w:rsid w:val="5FF37FB5"/>
    <w:rsid w:val="669C5D2F"/>
    <w:rsid w:val="750D0E61"/>
    <w:rsid w:val="7D0D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Calibri" w:hAnsi="Calibri" w:eastAsia="仿宋_GB2312" w:cs="宋体"/>
      <w:sz w:val="32"/>
    </w:rPr>
  </w:style>
  <w:style w:type="paragraph" w:styleId="3">
    <w:name w:val="Body Text First Indent"/>
    <w:basedOn w:val="2"/>
    <w:next w:val="2"/>
    <w:qFormat/>
    <w:uiPriority w:val="99"/>
    <w:pPr>
      <w:spacing w:after="0" w:line="500" w:lineRule="exact"/>
      <w:ind w:firstLine="420"/>
    </w:pPr>
    <w:rPr>
      <w:rFonts w:ascii="Times New Roman" w:hAnsi="Times New Roman" w:eastAsia="楷体_GB2312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Office_10.8.2.6870_F1E327BC-269C-435d-A152-05C5408002CA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2021-07-21T01:26:00Z</dcterms:created>
  <dc:creator>Mussessen</dc:creator>
  <cp:lastModifiedBy>李杰玲</cp:lastModifiedBy>
  <dcterms:modified xsi:type="dcterms:W3CDTF">2022-06-02T08:28:59Z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2052-10.8.2.6870</vt:lpwstr>
  </property>
  <property fmtid="{D5CDD505-2E9C-101B-9397-08002B2CF9AE}" pid="3" name="ICV">
    <vt:lpwstr>B4F41DB7B2F94E61AD822C17667503E7</vt:lpwstr>
  </property>
</Properties>
</file>