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color w:val="000000"/>
          <w:sz w:val="32"/>
          <w:szCs w:val="32"/>
        </w:rPr>
      </w:pPr>
      <w:r>
        <w:rPr>
          <w:rFonts w:hint="eastAsia" w:ascii="黑体" w:hAnsi="黑体" w:eastAsia="黑体" w:cs="黑体"/>
          <w:color w:val="000000"/>
          <w:sz w:val="32"/>
          <w:szCs w:val="32"/>
        </w:rPr>
        <w:t>附件1</w:t>
      </w:r>
    </w:p>
    <w:p>
      <w:pPr>
        <w:spacing w:line="70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江西省社会科学“十四五”（2023年）</w:t>
      </w:r>
    </w:p>
    <w:p>
      <w:pPr>
        <w:spacing w:line="700" w:lineRule="exact"/>
        <w:jc w:val="center"/>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基金项目课题指南</w:t>
      </w:r>
    </w:p>
    <w:p>
      <w:pPr>
        <w:spacing w:line="550" w:lineRule="exact"/>
        <w:rPr>
          <w:rFonts w:hint="eastAsia" w:ascii="黑体" w:hAnsi="黑体" w:eastAsia="黑体" w:cs="黑体"/>
          <w:color w:val="000000"/>
          <w:sz w:val="32"/>
          <w:szCs w:val="32"/>
        </w:rPr>
      </w:pPr>
    </w:p>
    <w:p>
      <w:pPr>
        <w:snapToGrid w:val="0"/>
        <w:spacing w:before="312" w:beforeLines="100" w:after="156" w:afterLines="50" w:line="550" w:lineRule="exact"/>
        <w:jc w:val="center"/>
        <w:textAlignment w:val="center"/>
        <w:rPr>
          <w:rFonts w:ascii="黑体" w:hAnsi="宋体" w:eastAsia="黑体" w:cs="黑体"/>
          <w:b/>
          <w:bCs/>
          <w:color w:val="000000"/>
          <w:sz w:val="32"/>
          <w:szCs w:val="32"/>
        </w:rPr>
      </w:pPr>
      <w:r>
        <w:rPr>
          <w:rStyle w:val="4"/>
          <w:rFonts w:hint="default"/>
          <w:lang w:bidi="ar"/>
        </w:rPr>
        <w:t>一、马克思主义</w:t>
      </w:r>
      <w:r>
        <w:rPr>
          <w:rStyle w:val="5"/>
          <w:rFonts w:eastAsia="黑体"/>
          <w:lang w:bidi="ar"/>
        </w:rPr>
        <w:t>•</w:t>
      </w:r>
      <w:r>
        <w:rPr>
          <w:rStyle w:val="4"/>
          <w:rFonts w:hint="default"/>
          <w:lang w:bidi="ar"/>
        </w:rPr>
        <w:t>科学社会主义</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1.习近平新时代中国特色社会主义思想的世界观和方法论研究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2.习近平新时代中国特色社会主义思想对马克思主义的原创性贡献研究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3.习近平新时代中国特色社会主义思想在科学社会主义发展史上的地位研究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4.习近平总书记关于中国共产党革命精神重要论述研究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5.习近平生态文明思想的辩证法运用研究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6.“两个确立”与新时代十年伟大变革研究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7.“两个确立”对推进中华民族伟大复兴的决定性意义研究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8.“三个务必”的价值意蕴与实践要求研究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9.党的十八大以来“三件大事”的重大意义研究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10.世界历史视域下中国式现代化道路的演进逻辑研究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11.以中国式现代化全面推进中华民族伟大复兴的内在逻辑研究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12.省域层面推进中国式现代化的目标体系、评价体系研究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13.中华文明与中国式现代化形成、发展的内在关系研究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14.中国式现代化生态</w:t>
      </w:r>
      <w:r>
        <w:rPr>
          <w:rFonts w:hint="eastAsia" w:ascii="仿宋_GB2312" w:hAnsi="宋体" w:eastAsia="仿宋_GB2312" w:cs="仿宋_GB2312"/>
          <w:color w:val="000000"/>
          <w:kern w:val="0"/>
          <w:sz w:val="32"/>
          <w:szCs w:val="32"/>
          <w:lang w:eastAsia="zh-CN" w:bidi="ar"/>
        </w:rPr>
        <w:t>文明</w:t>
      </w:r>
      <w:r>
        <w:rPr>
          <w:rFonts w:hint="eastAsia" w:ascii="仿宋_GB2312" w:hAnsi="宋体" w:eastAsia="仿宋_GB2312" w:cs="仿宋_GB2312"/>
          <w:color w:val="000000"/>
          <w:kern w:val="0"/>
          <w:sz w:val="32"/>
          <w:szCs w:val="32"/>
          <w:lang w:bidi="ar"/>
        </w:rPr>
        <w:t>意蕴的理论贡献研究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15.开辟马克思主义中国化时代化新境界的基本原则和路径方法研究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16.以“两个结合”继续推进马克思主义中国化时代化研究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17.“中国化时代化的马克思主义行”的内涵研究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18.五个“必由之路”的历史基础、科学内涵与重大意义研究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19.共同富裕的内涵与实现路径研究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20.人类文明新形态生成逻辑与价值意蕴研究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21.新时代传承红色基因的江西优势与实现路径研究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22.伟大建军精神的核心要义、生成逻辑与时代价值研究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23.八一南昌起义的历史地位、科学内涵和时代价值研究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24.方志敏革命精神时代价值阐释和传承机制研究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25.新时代背景下安源精神的传承与发展研究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26.中华苏维埃时期与新中国建设、改革及现代化进程的关系研究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27.井冈山精神、苏区精神、长征精神在中国革命精神谱系中的地位研究（分专题研究）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28.井冈山精神、苏区精神、长征精神革命性、民族性、时代性研究（分专题研究）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29.老区精神的科学内涵及时代价值研究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30.中国企业家精神与工匠精神、劳模精神的塑造与培育研究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31.新时代“科学家精神”在传承红色基因中的育人功能研究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32.建设具有强大凝聚力和引领力的社会主义意识形态的内涵、价值与路径研究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33.中华民族共同体意识与文化自信研究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34.社会主义核心价值观融入法治建设、社区治理、日常生活的价值意蕴和路径研究（分专题研究）</w:t>
      </w:r>
    </w:p>
    <w:p>
      <w:pPr>
        <w:snapToGrid w:val="0"/>
        <w:spacing w:line="550" w:lineRule="exact"/>
        <w:ind w:left="480" w:hanging="480" w:hangingChars="150"/>
        <w:textAlignment w:val="center"/>
        <w:rPr>
          <w:rFonts w:hint="eastAsia" w:ascii="仿宋_GB2312" w:hAnsi="宋体" w:eastAsia="仿宋_GB2312" w:cs="仿宋_GB2312"/>
          <w:color w:val="000000"/>
          <w:spacing w:val="-6"/>
          <w:sz w:val="32"/>
          <w:szCs w:val="32"/>
        </w:rPr>
      </w:pPr>
      <w:r>
        <w:rPr>
          <w:rFonts w:hint="eastAsia" w:ascii="仿宋_GB2312" w:hAnsi="宋体" w:eastAsia="仿宋_GB2312" w:cs="仿宋_GB2312"/>
          <w:color w:val="000000"/>
          <w:kern w:val="0"/>
          <w:sz w:val="32"/>
          <w:szCs w:val="32"/>
          <w:lang w:bidi="ar"/>
        </w:rPr>
        <w:t>35.</w:t>
      </w:r>
      <w:r>
        <w:rPr>
          <w:rFonts w:hint="eastAsia" w:ascii="仿宋_GB2312" w:hAnsi="宋体" w:eastAsia="仿宋_GB2312" w:cs="仿宋_GB2312"/>
          <w:color w:val="000000"/>
          <w:spacing w:val="-6"/>
          <w:kern w:val="0"/>
          <w:sz w:val="32"/>
          <w:szCs w:val="32"/>
          <w:lang w:bidi="ar"/>
        </w:rPr>
        <w:t>毛泽东、邓小平、江泽民、胡锦涛、习近平对党的意识形态工作的理论创新与基本经验研究（分专题研究）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.新时代提升领导干部意识形态能力建设研究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.信息化视域下高校意识形态安全机制建构</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.当前意识形态工作领域面临的挑战与对策研究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39</w:t>
      </w:r>
      <w:r>
        <w:rPr>
          <w:rFonts w:hint="eastAsia" w:ascii="仿宋_GB2312" w:hAnsi="宋体" w:eastAsia="仿宋_GB2312" w:cs="仿宋_GB2312"/>
          <w:color w:val="000000"/>
          <w:kern w:val="0"/>
          <w:sz w:val="32"/>
          <w:szCs w:val="32"/>
          <w:lang w:bidi="ar"/>
        </w:rPr>
        <w:t>.社会主义意识形态理论话语创新研究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.中国特色哲学社会科学学科体系、学术体系、话语体系构建路径研究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.从文化自信到文化自强的实践路径研究——以景德镇国家陶瓷文化传承创新实验区为例</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.加快建设全国红色基因传承示范区建设的实践路径研究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.红色基因融入长征国家文化公园建设研究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.红色基因传承与“勤廉江西”建设研究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.“大思政课”视域下高校思想政治教育现代化研究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.网络思想与政治教育的理论和实践研究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.中华优秀传统文化与科学社会主义价值观主张的高度契合性研究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.红色旅游对青少年社会主义核心价值观的影响研究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49</w:t>
      </w:r>
      <w:r>
        <w:rPr>
          <w:rFonts w:hint="eastAsia" w:ascii="仿宋_GB2312" w:hAnsi="宋体" w:eastAsia="仿宋_GB2312" w:cs="仿宋_GB2312"/>
          <w:color w:val="000000"/>
          <w:kern w:val="0"/>
          <w:sz w:val="32"/>
          <w:szCs w:val="32"/>
          <w:lang w:bidi="ar"/>
        </w:rPr>
        <w:t>.江西红色建筑遗产的价值与保护研究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.红色文化赋能中国式现代化建设研究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.文化强国背景下提升我省公民道德教育研究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.社会主义核心价值观铸魂育人的基层实践研究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.乡村振兴背景下全面推进农村精神文明建设路径研究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.新时代高校思政课改革创新研究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Style w:val="4"/>
          <w:rFonts w:hint="default"/>
          <w:lang w:bidi="ar"/>
        </w:rPr>
        <w:t>二、党史</w:t>
      </w:r>
      <w:r>
        <w:rPr>
          <w:rStyle w:val="5"/>
          <w:rFonts w:eastAsia="黑体"/>
          <w:lang w:bidi="ar"/>
        </w:rPr>
        <w:t>•</w:t>
      </w:r>
      <w:r>
        <w:rPr>
          <w:rStyle w:val="4"/>
          <w:rFonts w:hint="default"/>
          <w:lang w:bidi="ar"/>
        </w:rPr>
        <w:t>党建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1.习近平总书记关于推进党的自我革命重要论述研究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2.习近平强军思想研究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3.实现第一个百年奋斗目标的伟大经验研究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4.中国共产党</w:t>
      </w:r>
      <w:r>
        <w:rPr>
          <w:rFonts w:hint="eastAsia" w:ascii="仿宋_GB2312" w:hAnsi="宋体" w:eastAsia="仿宋_GB2312" w:cs="仿宋_GB2312"/>
          <w:color w:val="000000"/>
          <w:kern w:val="0"/>
          <w:sz w:val="32"/>
          <w:szCs w:val="32"/>
          <w:lang w:eastAsia="zh-CN" w:bidi="ar"/>
        </w:rPr>
        <w:t>发扬</w:t>
      </w:r>
      <w:r>
        <w:rPr>
          <w:rFonts w:hint="eastAsia" w:ascii="仿宋_GB2312" w:hAnsi="宋体" w:eastAsia="仿宋_GB2312" w:cs="仿宋_GB2312"/>
          <w:color w:val="000000"/>
          <w:kern w:val="0"/>
          <w:sz w:val="32"/>
          <w:szCs w:val="32"/>
          <w:lang w:bidi="ar"/>
        </w:rPr>
        <w:t>历史主动精神的历程与经验研究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5.中国共产党历史自信的生成、价值与提升路径研究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6.十八大以来中国共产党治国理政的成就与经验研究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7.毛泽东的江西七年在中国共产党革命进程中的历史贡献研究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8.新时代新征程中国共产党的使命任务研究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9.大党独有难题的内涵外延及其应对策略研究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10.从“被动中的主动”到历史主动：中国共产党破解历史周期率的答案进阶研究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11.以党的自我革命引领社会革命的内在逻辑</w:t>
      </w:r>
      <w:r>
        <w:rPr>
          <w:rFonts w:hint="eastAsia" w:ascii="仿宋_GB2312" w:hAnsi="宋体" w:eastAsia="仿宋_GB2312" w:cs="仿宋_GB2312"/>
          <w:color w:val="000000"/>
          <w:kern w:val="0"/>
          <w:sz w:val="32"/>
          <w:szCs w:val="32"/>
          <w:lang w:eastAsia="zh-CN" w:bidi="ar"/>
        </w:rPr>
        <w:t>、</w:t>
      </w:r>
      <w:r>
        <w:rPr>
          <w:rFonts w:hint="eastAsia" w:ascii="仿宋_GB2312" w:hAnsi="宋体" w:eastAsia="仿宋_GB2312" w:cs="仿宋_GB2312"/>
          <w:color w:val="000000"/>
          <w:kern w:val="0"/>
          <w:sz w:val="32"/>
          <w:szCs w:val="32"/>
          <w:lang w:bidi="ar"/>
        </w:rPr>
        <w:t>实现机制和主要经验研究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12.以“能上能下”激励干部担当作为的困境及对策研究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13.领导干部斗争精神和斗争本领养成研究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14.建设堪当民族复兴重任的时代新人研究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.中国共产党思想路线的发展历程及经验研究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.中华苏维埃时期中国共产党治国理政原创性经验及价值研究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.中国共产党江西土地革命时期现代化探索与实践经验研究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.湘赣革命根据地史料整理及其价值研究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19</w:t>
      </w:r>
      <w:r>
        <w:rPr>
          <w:rFonts w:hint="eastAsia" w:ascii="仿宋_GB2312" w:hAnsi="宋体" w:eastAsia="仿宋_GB2312" w:cs="仿宋_GB2312"/>
          <w:color w:val="000000"/>
          <w:kern w:val="0"/>
          <w:sz w:val="32"/>
          <w:szCs w:val="32"/>
          <w:lang w:bidi="ar"/>
        </w:rPr>
        <w:t>.革命老区传承弘扬伟大建党精神与用好红色资源实践研究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.青年工作在党和国家事业全局中战略性地位与落实机制研究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.中国共产党百年来意识形态建设基本经验与实践推进研究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.健全全面从严治党体系的路径研究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.党内法规体系建设与提升依规治党效能研究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.健全用党的创新理论武装全党、教育人民、指导实践工作体系研究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.坚持不敢腐、不能腐、不想腐一体推进研究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.全面增强基层党组织政治功能和组织功能研究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.中央苏区纪检监察工作探索实践及其当代价值研究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.中央苏区司法审判制度的历史意义与当代启示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val="en-US" w:eastAsia="zh-CN" w:bidi="ar"/>
        </w:rPr>
        <w:t>29</w:t>
      </w:r>
      <w:r>
        <w:rPr>
          <w:rFonts w:hint="eastAsia" w:ascii="仿宋_GB2312" w:hAnsi="宋体" w:eastAsia="仿宋_GB2312" w:cs="仿宋_GB2312"/>
          <w:color w:val="000000"/>
          <w:kern w:val="0"/>
          <w:sz w:val="32"/>
          <w:szCs w:val="32"/>
          <w:lang w:bidi="ar"/>
        </w:rPr>
        <w:t>.中央苏区干部教育工作的探索实践及其历史启示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.中国共产党早期红色金融实践及历史经验研究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.大历史观视域下“对党忠诚，不负人民”的理论逻辑与实践进路研究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.中央苏区时期红色金融先驱事迹的时代价值研究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.中华苏维埃共和国时期的意识形态建构及经验启示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.全面从严治党背景下高校基层党组织建设研究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.健全我省基层党组织领导的基层群众自治机制研究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.安源工运时期党的群众工作实践与经验研究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.安源路矿工人运动的历程、成就与经验研究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.安源党校创办历程及其现实启示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39</w:t>
      </w:r>
      <w:r>
        <w:rPr>
          <w:rFonts w:hint="eastAsia" w:ascii="仿宋_GB2312" w:hAnsi="宋体" w:eastAsia="仿宋_GB2312" w:cs="仿宋_GB2312"/>
          <w:color w:val="000000"/>
          <w:kern w:val="0"/>
          <w:sz w:val="32"/>
          <w:szCs w:val="32"/>
          <w:lang w:bidi="ar"/>
        </w:rPr>
        <w:t>.井冈山胜利会师与党的早期军事斗争研究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.中央苏区调查统计历史考察及当代启示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.赣西南苏区史料搜集整理与研究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.湘赣苏区经济建设的经验与启示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.湘赣苏区干部教育的经验与启示</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.湘赣边三年游击战争历史地位研究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.全面提升新时代党建质量研究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.数字赋能党建工作高质量发展的新模式新体系研究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.中国共产党人精神谱系融入高校思政课教学的实践进路研究</w:t>
      </w:r>
    </w:p>
    <w:p>
      <w:pPr>
        <w:snapToGrid w:val="0"/>
        <w:spacing w:line="550" w:lineRule="exact"/>
        <w:ind w:left="480" w:hanging="480" w:hangingChars="150"/>
        <w:textAlignment w:val="center"/>
        <w:rPr>
          <w:rFonts w:hint="eastAsia" w:ascii="黑体" w:hAnsi="宋体" w:eastAsia="黑体" w:cs="黑体"/>
          <w:b/>
          <w:bCs/>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.高质量党的建设引领我省高质量发展机制研究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三、哲学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1.习近平新时代中国特色社会主义思想的哲学研究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2.当代中国马克思主义在哲学方面的原创性贡献研究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3.中华文明特质与形态的中国哲学基础研究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4.中国马克思主义哲学的使命与特征研究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5.马、中、西哲学对话中的中国道路研究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6.马克思主义哲学视野中的世界百年未有之大变局研究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7.21世纪马克思主义哲学的原创贡献研究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8.中国传统哲学思想的当代转型与发展研究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9.中国自主哲学知识体系建构的理论机制研究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10.新技术发展的社会伦理与哲学研究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11.人类命运共同体思想与人类文明新形态的伦理问题研究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12.中国哲学中人与自然关系研究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13.国家治理体系与治理能力现代化的哲学研究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14.伟大建党精神和中国共产党人精神谱系的哲学研究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15.数字时代马克思主义哲学创新发展研究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16.聚焦公平正义的伦理学与政治哲学研究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17.人工智能的社会责任、伦理与治理研究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18.马克思主义视域下的宋明理学研究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19.王安石天人合一哲学思想研究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20.朱熹民本思想及其当代意义研究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21.阳明心学的哲学阐释与当代价值研究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22.陆九渊心学的创建传承与江西书院文化互动研究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23.江西理学资源整理与研究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四、宗教学</w:t>
      </w:r>
    </w:p>
    <w:p>
      <w:pPr>
        <w:snapToGrid w:val="0"/>
        <w:spacing w:line="550" w:lineRule="exact"/>
        <w:ind w:left="480" w:hanging="480" w:hangingChars="150"/>
        <w:textAlignment w:val="center"/>
        <w:rPr>
          <w:rFonts w:hint="eastAsia" w:ascii="仿宋_GB2312" w:hAnsi="宋体" w:eastAsia="仿宋_GB2312" w:cs="仿宋_GB2312"/>
          <w:color w:val="000000"/>
          <w:spacing w:val="-11"/>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spacing w:val="-6"/>
          <w:kern w:val="0"/>
          <w:sz w:val="32"/>
          <w:szCs w:val="32"/>
          <w:lang w:bidi="ar"/>
        </w:rPr>
        <w:t>习近平</w:t>
      </w:r>
      <w:r>
        <w:rPr>
          <w:rFonts w:hint="eastAsia" w:ascii="仿宋_GB2312" w:hAnsi="宋体" w:eastAsia="仿宋_GB2312" w:cs="仿宋_GB2312"/>
          <w:color w:val="000000"/>
          <w:spacing w:val="-6"/>
          <w:kern w:val="0"/>
          <w:sz w:val="32"/>
          <w:szCs w:val="32"/>
          <w:lang w:eastAsia="zh-CN" w:bidi="ar"/>
        </w:rPr>
        <w:t>总书记</w:t>
      </w:r>
      <w:r>
        <w:rPr>
          <w:rFonts w:hint="eastAsia" w:ascii="仿宋_GB2312" w:hAnsi="宋体" w:eastAsia="仿宋_GB2312" w:cs="仿宋_GB2312"/>
          <w:color w:val="000000"/>
          <w:spacing w:val="-6"/>
          <w:kern w:val="0"/>
          <w:sz w:val="32"/>
          <w:szCs w:val="32"/>
          <w:lang w:bidi="ar"/>
        </w:rPr>
        <w:t>对中国特色社会主义宗教理论的创新性贡献研究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 xml:space="preserve">2.新时代中国共产党民族工作理论与实践研究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3.中国马克思主义宗教学理论体系化建设研究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4.马克思主义宗教观视域下高校文化安全建设意义和路径研究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5.宗教与社会主义社会相适应引导机制研究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6.防范化解我省民族宗教领域风险隐患对策研究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7.提高我省宗教工作法治化水平研究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8.古陶瓷“儒释道”的活化调查及传承研究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9.江西省宗教文化遗产整理与研究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10.龙虎山道教文化传承与保护研究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11.推进我省基督教中国化的实践和道路研究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12.新时代基层宗教工作中的新情况新问题研究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五、理论经济</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1.习近平总书记关于“三新一高”（新发展阶段、新发展理念、新发展格局、高质量发展）重要论述研究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2.谱写中国式现代化江西篇章的目标任务、基本路径和根本保障研究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3.新发展格局下宏观政策的协调配合与效果评价研究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4.新时代推进我省经济治理体系和治理能力现代化研究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5.江西省打造全国构建新发展格局重要战略支点的实现机制研究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6.深化要素市场化改革、建设高标准市场体系的重点任务研究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7.金融、房地产与实体经济均衡发展的理论机制研究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8.推进城乡融合和区域协调发展研究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9.国有企业在中国式现代化建设中的使命和任务研究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10.现代化产业体系的评估指标、发展规律与路径选择研究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11.促进数字经济与实体经济深度融合研究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12.“双碳”背景下金融治理模式的应对与升级研究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13.统筹推进碳达峰碳中和与经济社会协同发展研究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14.推动绿色发展、 促进绿色消费的税收政策研究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15.构建现代化经济体系与高水平社会主义市场经济体制研究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16.江西打造内陆双向开放新高地的制度创新研究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17.人工智能驱动江西产业转型升级的效应测度、路径与对策研究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18.江西工业产业链数字化的动力机制与实现路径研究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19.“双循环”新格局下江西航空产业链节点地位测度与提升路径</w:t>
      </w:r>
      <w:r>
        <w:rPr>
          <w:rFonts w:hint="eastAsia" w:ascii="仿宋_GB2312" w:hAnsi="宋体" w:eastAsia="仿宋_GB2312" w:cs="仿宋_GB2312"/>
          <w:color w:val="000000"/>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20.中国式现代</w:t>
      </w:r>
      <w:r>
        <w:rPr>
          <w:rFonts w:hint="eastAsia" w:ascii="仿宋_GB2312" w:hAnsi="宋体" w:eastAsia="仿宋_GB2312" w:cs="仿宋_GB2312"/>
          <w:color w:val="000000"/>
          <w:kern w:val="0"/>
          <w:sz w:val="32"/>
          <w:szCs w:val="32"/>
          <w:lang w:eastAsia="zh-CN" w:bidi="ar"/>
        </w:rPr>
        <w:t>化</w:t>
      </w:r>
      <w:r>
        <w:rPr>
          <w:rFonts w:hint="eastAsia" w:ascii="仿宋_GB2312" w:hAnsi="宋体" w:eastAsia="仿宋_GB2312" w:cs="仿宋_GB2312"/>
          <w:color w:val="000000"/>
          <w:kern w:val="0"/>
          <w:sz w:val="32"/>
          <w:szCs w:val="32"/>
          <w:lang w:bidi="ar"/>
        </w:rPr>
        <w:t>进程中推进江西革命老区共同富裕研究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21.健全生态保护补偿制度和碳排放市场交易制度研究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六、应用经济</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1.加快科技创新助力全面建设“六个江西”</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 xml:space="preserve">实现路径研究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2.新时代背景下构建“长三角经济带”区域经济协调发展新机制研究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3.数字经济推动我省制造业企业绿色发展的路径研究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4.优化支持我省实体经济高质量发展的产业政策研究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5.促进我省经济绿色低碳转型的财税政策研究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 xml:space="preserve">6.推动江西战略性新兴产业融合集群发展研究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7.数字经济赋能我省乡村振兴研究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8.我省在乡村振兴中“留住乡愁”：价值、困境与路径研究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9.生态共建共享促进革命老区共同富裕的实现路径</w:t>
      </w:r>
      <w:r>
        <w:rPr>
          <w:rFonts w:hint="eastAsia" w:ascii="仿宋_GB2312" w:hAnsi="宋体" w:eastAsia="仿宋_GB2312" w:cs="仿宋_GB2312"/>
          <w:color w:val="000000"/>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10.数字乡村建设推进赣南革命老区共同富裕的作用机制与实现路径</w:t>
      </w:r>
      <w:r>
        <w:rPr>
          <w:rFonts w:hint="eastAsia" w:ascii="仿宋_GB2312" w:hAnsi="宋体" w:eastAsia="仿宋_GB2312" w:cs="仿宋_GB2312"/>
          <w:color w:val="000000"/>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11.加快构建“2+6+N”江西特色现代化产业体系</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12.加快打造江西特色现代化工业体系</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13.打造南昌“一枢纽四中心”对推进现代化江西建设的重大意义研究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14.江西“生态样板”建设目标、任务和路径研究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15.江西省“两山”转化机制及实现路径研究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val="en-US" w:eastAsia="zh-CN" w:bidi="ar"/>
        </w:rPr>
        <w:t>16.</w:t>
      </w:r>
      <w:r>
        <w:rPr>
          <w:rFonts w:hint="eastAsia" w:ascii="仿宋_GB2312" w:hAnsi="宋体" w:eastAsia="仿宋_GB2312" w:cs="仿宋_GB2312"/>
          <w:color w:val="000000"/>
          <w:kern w:val="0"/>
          <w:sz w:val="32"/>
          <w:szCs w:val="32"/>
          <w:lang w:bidi="ar"/>
        </w:rPr>
        <w:t>共同富裕视角下江西碳汇生态产品价值实现机理及路径优化研究</w:t>
      </w:r>
    </w:p>
    <w:p>
      <w:pPr>
        <w:snapToGrid w:val="0"/>
        <w:spacing w:line="550" w:lineRule="exact"/>
        <w:ind w:left="480" w:hanging="480" w:hangingChars="150"/>
        <w:textAlignment w:val="center"/>
        <w:rPr>
          <w:rFonts w:hint="default"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17.</w:t>
      </w:r>
      <w:r>
        <w:rPr>
          <w:rFonts w:hint="eastAsia" w:ascii="仿宋_GB2312" w:hAnsi="宋体" w:eastAsia="仿宋_GB2312" w:cs="仿宋_GB2312"/>
          <w:color w:val="000000"/>
          <w:kern w:val="0"/>
          <w:sz w:val="32"/>
          <w:szCs w:val="32"/>
          <w:lang w:bidi="ar"/>
        </w:rPr>
        <w:t>江西全域推进生态产品价值实现机制研究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.乡村振兴视域下新型城镇化对农村生态环境的影响机制研究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9</w:t>
      </w:r>
      <w:r>
        <w:rPr>
          <w:rFonts w:hint="eastAsia" w:ascii="仿宋_GB2312" w:hAnsi="宋体" w:eastAsia="仿宋_GB2312" w:cs="仿宋_GB2312"/>
          <w:color w:val="000000"/>
          <w:kern w:val="0"/>
          <w:sz w:val="32"/>
          <w:szCs w:val="32"/>
          <w:lang w:bidi="ar"/>
        </w:rPr>
        <w:t>.赣闽粤原中央苏区高质量振兴发展的实现路径与对策研究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20</w:t>
      </w:r>
      <w:r>
        <w:rPr>
          <w:rFonts w:hint="eastAsia" w:ascii="仿宋_GB2312" w:hAnsi="宋体" w:eastAsia="仿宋_GB2312" w:cs="仿宋_GB2312"/>
          <w:color w:val="000000"/>
          <w:kern w:val="0"/>
          <w:sz w:val="32"/>
          <w:szCs w:val="32"/>
          <w:lang w:bidi="ar"/>
        </w:rPr>
        <w:t>.“双碳”目标下江西制造业转型升级的路径与对策研究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.江西省产业链内企业协作水平的测度、影响机制及提升路径研究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.数字经济发展对江西省就业结构及质量的影响与对策研究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.支持江西民营经济发展的财税政策研究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.民营经济促进就业</w:t>
      </w:r>
      <w:r>
        <w:rPr>
          <w:rFonts w:hint="eastAsia" w:ascii="仿宋_GB2312" w:hAnsi="宋体" w:eastAsia="仿宋_GB2312" w:cs="仿宋_GB2312"/>
          <w:color w:val="000000"/>
          <w:kern w:val="0"/>
          <w:sz w:val="32"/>
          <w:szCs w:val="32"/>
          <w:lang w:eastAsia="zh-CN" w:bidi="ar"/>
        </w:rPr>
        <w:t>的机理与</w:t>
      </w:r>
      <w:r>
        <w:rPr>
          <w:rFonts w:hint="eastAsia" w:ascii="仿宋_GB2312" w:hAnsi="宋体" w:eastAsia="仿宋_GB2312" w:cs="仿宋_GB2312"/>
          <w:color w:val="000000"/>
          <w:kern w:val="0"/>
          <w:sz w:val="32"/>
          <w:szCs w:val="32"/>
          <w:lang w:bidi="ar"/>
        </w:rPr>
        <w:t>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.城乡融合视角下民营企业参与乡村振兴的机制和途径研究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.我省民营经济高质量发展面临的瓶颈和突破思路研究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.服务业数字化赋能扩大内需的路径研究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.全国统一大市场背景下我省民营经济发展壮大的路径及对策研究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9</w:t>
      </w:r>
      <w:r>
        <w:rPr>
          <w:rFonts w:hint="eastAsia" w:ascii="仿宋_GB2312" w:hAnsi="宋体" w:eastAsia="仿宋_GB2312" w:cs="仿宋_GB2312"/>
          <w:color w:val="000000"/>
          <w:kern w:val="0"/>
          <w:sz w:val="32"/>
          <w:szCs w:val="32"/>
          <w:lang w:bidi="ar"/>
        </w:rPr>
        <w:t>.关于进一步深化服务业对外开放水平的路径研究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30</w:t>
      </w:r>
      <w:r>
        <w:rPr>
          <w:rFonts w:hint="eastAsia" w:ascii="仿宋_GB2312" w:hAnsi="宋体" w:eastAsia="仿宋_GB2312" w:cs="仿宋_GB2312"/>
          <w:color w:val="000000"/>
          <w:kern w:val="0"/>
          <w:sz w:val="32"/>
          <w:szCs w:val="32"/>
          <w:lang w:bidi="ar"/>
        </w:rPr>
        <w:t>.提振我省民营企业发展信心的主要困难和对策建议</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.江西省产业链现代化水平测度与提升路径研究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.长江中游三省共建产业协同创新体系对策研究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.数智化时代科创金融支持“创新江西”建设的挑战与路径研究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.基于要素禀赋的江西省产业数字化转型升级策略研究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35.科技赋能江西农业强省建设的对策</w:t>
      </w:r>
      <w:r>
        <w:rPr>
          <w:rFonts w:hint="eastAsia" w:ascii="仿宋_GB2312" w:hAnsi="宋体" w:eastAsia="仿宋_GB2312" w:cs="仿宋_GB2312"/>
          <w:color w:val="000000"/>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36.数字化赋能长江中游城市群工业低碳协同发展的机理与路径研究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.促进我省中小企业数字化转型的路径研究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.农村文化产业赋能江西乡村振兴发展路径研究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39</w:t>
      </w:r>
      <w:r>
        <w:rPr>
          <w:rFonts w:hint="eastAsia" w:ascii="仿宋_GB2312" w:hAnsi="宋体" w:eastAsia="仿宋_GB2312" w:cs="仿宋_GB2312"/>
          <w:color w:val="000000"/>
          <w:kern w:val="0"/>
          <w:sz w:val="32"/>
          <w:szCs w:val="32"/>
          <w:lang w:bidi="ar"/>
        </w:rPr>
        <w:t>.区域协调发展战略下建设赣江中游生态经济带的路径研究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.建设我省高效医疗体系的对策研究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.江西基层政府的财力建设研究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.树立大食物观与夯实我省粮食安全根基研究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.市场导向视角下推动全面转入创新驱动发展模式的政府作用研究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.强化现代化建设人才支撑的实现路径与对策研究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.新时代打造宜居韧性智慧城市研究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.新发展格局下进一步释放居民消费潜力研究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 xml:space="preserve">.我省推进人才引领创新驱动发展战略的实现路径研究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.江西特色新型智库建设的现状、问题和对策研究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49</w:t>
      </w:r>
      <w:r>
        <w:rPr>
          <w:rFonts w:hint="eastAsia" w:ascii="仿宋_GB2312" w:hAnsi="宋体" w:eastAsia="仿宋_GB2312" w:cs="仿宋_GB2312"/>
          <w:color w:val="000000"/>
          <w:kern w:val="0"/>
          <w:sz w:val="32"/>
          <w:szCs w:val="32"/>
          <w:lang w:bidi="ar"/>
        </w:rPr>
        <w:t>.建立耕地种植用途管控机制研究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.加强我省旱涝灾害防御体系建设和农业生产防灾救灾保障研究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.建立农业生态环境保护监测制度研究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.公共机构绿色低碳转型实践路径与政策建议</w:t>
      </w:r>
      <w:r>
        <w:rPr>
          <w:rFonts w:hint="eastAsia" w:ascii="仿宋_GB2312" w:hAnsi="宋体" w:eastAsia="仿宋_GB2312" w:cs="仿宋_GB2312"/>
          <w:color w:val="000000"/>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.高质量建设长江国家文化公园江西段路径研究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七、法学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1.习近平法治思想研究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2.法治国家、法治政府、法治社会一体化建设研究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3.中国式法治现代化的理论内涵、创新逻辑与实现路径研究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4.“双碳”目标下绿色发展、生态保护法律问题研究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5.江西建设覆盖城乡的现代公共法律体系研究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6.法治江西与双</w:t>
      </w:r>
      <w:r>
        <w:rPr>
          <w:rFonts w:hint="eastAsia" w:ascii="仿宋_GB2312" w:hAnsi="宋体" w:eastAsia="仿宋_GB2312" w:cs="仿宋_GB2312"/>
          <w:color w:val="000000"/>
          <w:kern w:val="0"/>
          <w:sz w:val="32"/>
          <w:szCs w:val="32"/>
          <w:lang w:eastAsia="zh-CN" w:bidi="ar"/>
        </w:rPr>
        <w:t>“</w:t>
      </w:r>
      <w:r>
        <w:rPr>
          <w:rFonts w:hint="eastAsia" w:ascii="仿宋_GB2312" w:hAnsi="宋体" w:eastAsia="仿宋_GB2312" w:cs="仿宋_GB2312"/>
          <w:color w:val="000000"/>
          <w:kern w:val="0"/>
          <w:sz w:val="32"/>
          <w:szCs w:val="32"/>
          <w:lang w:bidi="ar"/>
        </w:rPr>
        <w:t>一号工程</w:t>
      </w:r>
      <w:r>
        <w:rPr>
          <w:rFonts w:hint="eastAsia" w:ascii="仿宋_GB2312" w:hAnsi="宋体" w:eastAsia="仿宋_GB2312" w:cs="仿宋_GB2312"/>
          <w:color w:val="000000"/>
          <w:kern w:val="0"/>
          <w:sz w:val="32"/>
          <w:szCs w:val="32"/>
          <w:lang w:eastAsia="zh-CN" w:bidi="ar"/>
        </w:rPr>
        <w:t>”</w:t>
      </w:r>
      <w:r>
        <w:rPr>
          <w:rFonts w:hint="eastAsia" w:ascii="仿宋_GB2312" w:hAnsi="宋体" w:eastAsia="仿宋_GB2312" w:cs="仿宋_GB2312"/>
          <w:color w:val="000000"/>
          <w:kern w:val="0"/>
          <w:sz w:val="32"/>
          <w:szCs w:val="32"/>
          <w:lang w:bidi="ar"/>
        </w:rPr>
        <w:t>建设中法治保障研究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7.数字法治政府建设的使命任务和实现路径研究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8.科学技术创新与运用中的法律问题研究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9.算法、数据、人工智能、平台经济的法律规制研究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10.数据权利、信息权利等新兴权利以及特殊群体权利保护研究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11.数字时代的社会风险及其法律规制研究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12.中国式现代化背景下完善税收立法问题研究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13.数字经济背景下相关财税法律制度的重构研究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14.数据跨境流动、数字贸易规制与经济安全保障的法律问题研究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15.推进全过程人民民主的宪法基础研究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16.长江经济带的环境法治问题研究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17.数字时代全过程人民民主实践法治路径研究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18.元宇宙背景下数字侵权法律问题研究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19.元宇宙空间著作权保护研究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20.新时代彩礼习俗法治改革研究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21.数字社会背景下城市社区依法治理研究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22.《民法典》时代法律适用的体系化研究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23.食品安全监管国际合作法律机制问题研究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24.中央苏区司法案例的史料搜集、整理与研究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25.中央苏区土地经营制度之法律创建及其历史经验研究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26.乡村振兴背景下推进我省法治乡村建设对策研究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27.我省考古遗址保护管理实践中的法律问题研究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八、社会学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1.新时代家风建设助力中国式现代化机制研究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2.社会工作促进共同富裕的机制研究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3.中国式现代化与社会工作中国式发展研究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4.以人民为中心的社会工作理论体系构建研究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5.“双碳”目标下的社会转型与治理研究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6.健全共建共治共享的社会治理制度研究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7.共同富裕目标下优化收入分配与发展慈善事业研究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8.当今中国青年的消费观、文化观、婚育观与择业观研究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9.社会变迁中的青年焦虑与价值认同研究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10.我国老龄化与人口均衡发展研究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11.人口老龄化背景下养老服务体系建设与发展研究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12.犯罪低龄化现象及对策研究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13.市域社会治理能力的生成逻辑与提升路径研究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14.中国式现代化进程中的“健康江西”建设研究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15.推进我省农村婚姻领域移风易俗改革研究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16.乡村振兴视阈下高价彩礼治理现代化研究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17.规范和支持灵活就业、新型就业形态研究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18.共同富裕视角下推进城乡公共服务均等化研究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19.人口均衡发展视野下生育支持政策体系研究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20.三孩政策背景下城市知识青年生育意愿的影响机理与政策指引研究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21.</w:t>
      </w:r>
      <w:r>
        <w:rPr>
          <w:rFonts w:hint="eastAsia" w:ascii="仿宋_GB2312" w:hAnsi="宋体" w:eastAsia="仿宋_GB2312" w:cs="仿宋_GB2312"/>
          <w:color w:val="000000"/>
          <w:kern w:val="0"/>
          <w:sz w:val="32"/>
          <w:szCs w:val="32"/>
          <w:lang w:bidi="ar"/>
        </w:rPr>
        <w:t>基层社区社会治理共同体的体制机制研究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.提升农村传染病防控和应急处置能力路径研究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.共同富裕与社会分层中的青年发展状况研究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.技术变革时代下的青年就业新形态研究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.乡村振兴背景下提高农村劳动力技能和素质研究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.我省老年人智慧医疗服务可及性实证研究</w:t>
      </w:r>
    </w:p>
    <w:p>
      <w:pPr>
        <w:snapToGrid w:val="0"/>
        <w:spacing w:line="550" w:lineRule="exact"/>
        <w:ind w:left="480" w:hanging="480" w:hangingChars="150"/>
        <w:textAlignment w:val="center"/>
        <w:rPr>
          <w:rFonts w:hint="eastAsia"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.日本养老服务人才的多元化培养模式及对江西的启示</w:t>
      </w:r>
    </w:p>
    <w:p>
      <w:pPr>
        <w:snapToGrid w:val="0"/>
        <w:spacing w:line="550" w:lineRule="exact"/>
        <w:ind w:left="480" w:hanging="480" w:hangingChars="150"/>
        <w:textAlignment w:val="center"/>
        <w:rPr>
          <w:rFonts w:hint="default"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28.</w:t>
      </w:r>
      <w:r>
        <w:rPr>
          <w:rFonts w:hint="eastAsia" w:ascii="仿宋_GB2312" w:hAnsi="宋体" w:eastAsia="仿宋_GB2312" w:cs="仿宋_GB2312"/>
          <w:color w:val="000000"/>
          <w:kern w:val="0"/>
          <w:sz w:val="32"/>
          <w:szCs w:val="32"/>
          <w:lang w:bidi="ar"/>
        </w:rPr>
        <w:t>数字治理视域下失能老人社区智慧照护能力提升策略研究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9</w:t>
      </w:r>
      <w:r>
        <w:rPr>
          <w:rFonts w:hint="eastAsia" w:ascii="仿宋_GB2312" w:hAnsi="宋体" w:eastAsia="仿宋_GB2312" w:cs="仿宋_GB2312"/>
          <w:color w:val="000000"/>
          <w:kern w:val="0"/>
          <w:sz w:val="32"/>
          <w:szCs w:val="32"/>
          <w:lang w:bidi="ar"/>
        </w:rPr>
        <w:t>.乡村振兴进程中江西省农村人居环境整治提升问题研究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30</w:t>
      </w:r>
      <w:r>
        <w:rPr>
          <w:rFonts w:hint="eastAsia" w:ascii="仿宋_GB2312" w:hAnsi="宋体" w:eastAsia="仿宋_GB2312" w:cs="仿宋_GB2312"/>
          <w:color w:val="000000"/>
          <w:kern w:val="0"/>
          <w:sz w:val="32"/>
          <w:szCs w:val="32"/>
          <w:lang w:bidi="ar"/>
        </w:rPr>
        <w:t>.深化产业工人队伍建设机制研究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31</w:t>
      </w:r>
      <w:r>
        <w:rPr>
          <w:rFonts w:hint="eastAsia" w:ascii="仿宋_GB2312" w:hAnsi="宋体" w:eastAsia="仿宋_GB2312" w:cs="仿宋_GB2312"/>
          <w:color w:val="000000"/>
          <w:kern w:val="0"/>
          <w:sz w:val="32"/>
          <w:szCs w:val="32"/>
          <w:lang w:bidi="ar"/>
        </w:rPr>
        <w:t>.新时代提高产业工人技能与素质研究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.完善维护产业工人合法权益机制研究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.“双减”政策下家庭教育选择分化及干预机制研究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.新时代农村宅基地改革的社会风险防范与化解机制研究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.流入地农民工社会融入的困境及对策研究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.我省智慧小区建设的现状、问题和对策研究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.实现农民共同富裕的江西乡村振兴路径研究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九、政治学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1.习近平外交思想与中国特色大国外交研究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2.习近平总书记关于做好新时代党的统一战线工作的重要思想研究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3.中国特色协商民主体系的逻辑阐释与世界意义研究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4.中国特色社会主义政治制度的传统文化基因研究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5.推进国家安全体系与能力现代化研究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6.新时代中国特色社会主义的发展对世界的贡献与影响研究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7.十八大以来中国特色社会主义新发展研究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8.坚持和完善马克思主义在意识形态领域指导地位的根本制度研究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9.全过程人民民主的治理效能与实现路径研究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10.全过程人民民主对中国民主形象的塑造与提升研究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11.人民政协参与发展全过程人民民主的实践路径研究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12.在伟大历史主动中丰富和发展人类文明新形态研究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13.提升我省公共安全治理水平研究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14.新发展理念视角下进一步优化我省政府职能研究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15.法治化营商环境中基层行政执法能力提升路径分析</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16.促进共同富裕的体制机制创新与区域实践研究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17.依法行政与法治化营商环境建设研究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18.中国特色社会主义的制度优势转化为治理效能研究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19.健全人民当家作主的制度体系研究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20.以新安全格局保障新发展格局研究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21.完善党的自我革命制度规范体系研究</w:t>
      </w:r>
    </w:p>
    <w:p>
      <w:pPr>
        <w:snapToGrid w:val="0"/>
        <w:spacing w:line="550" w:lineRule="exact"/>
        <w:ind w:left="480" w:hanging="480" w:hangingChars="150"/>
        <w:textAlignment w:val="center"/>
        <w:rPr>
          <w:rFonts w:hint="eastAsia" w:ascii="仿宋_GB2312" w:hAnsi="宋体" w:eastAsia="仿宋_GB2312" w:cs="仿宋_GB2312"/>
          <w:color w:val="auto"/>
          <w:sz w:val="32"/>
          <w:szCs w:val="32"/>
          <w:lang w:eastAsia="zh-CN"/>
        </w:rPr>
      </w:pPr>
      <w:r>
        <w:rPr>
          <w:rFonts w:hint="eastAsia" w:ascii="仿宋_GB2312" w:hAnsi="宋体" w:eastAsia="仿宋_GB2312" w:cs="仿宋_GB2312"/>
          <w:color w:val="auto"/>
          <w:kern w:val="0"/>
          <w:sz w:val="32"/>
          <w:szCs w:val="32"/>
          <w:lang w:bidi="ar"/>
        </w:rPr>
        <w:t>22.元宇宙理念对国际政治的</w:t>
      </w:r>
      <w:r>
        <w:rPr>
          <w:rFonts w:hint="eastAsia" w:ascii="仿宋_GB2312" w:hAnsi="宋体" w:eastAsia="仿宋_GB2312" w:cs="仿宋_GB2312"/>
          <w:color w:val="auto"/>
          <w:kern w:val="0"/>
          <w:sz w:val="32"/>
          <w:szCs w:val="32"/>
          <w:lang w:eastAsia="zh-CN" w:bidi="ar"/>
        </w:rPr>
        <w:t>影响和</w:t>
      </w:r>
      <w:r>
        <w:rPr>
          <w:rFonts w:hint="eastAsia" w:ascii="仿宋_GB2312" w:hAnsi="宋体" w:eastAsia="仿宋_GB2312" w:cs="仿宋_GB2312"/>
          <w:color w:val="auto"/>
          <w:kern w:val="0"/>
          <w:sz w:val="32"/>
          <w:szCs w:val="32"/>
          <w:lang w:bidi="ar"/>
        </w:rPr>
        <w:t>意义</w:t>
      </w:r>
      <w:r>
        <w:rPr>
          <w:rFonts w:hint="eastAsia" w:ascii="仿宋_GB2312" w:hAnsi="宋体" w:eastAsia="仿宋_GB2312" w:cs="仿宋_GB2312"/>
          <w:color w:val="auto"/>
          <w:kern w:val="0"/>
          <w:sz w:val="32"/>
          <w:szCs w:val="32"/>
          <w:lang w:eastAsia="zh-CN" w:bidi="ar"/>
        </w:rPr>
        <w:t>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23.推进我省社会治理体系与治理能力现代化新发展研究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24.中国式现代化与地方政府治理创新研究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25.新时代深化构建亲清政商关系研究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26.推进共同富裕的政府机制和公共政策研究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27.数字政府建设提升基层治理效能的机制研究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十、语言学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1.中国特色汉语语言学学科体系、学术体系、话语体系建设与创新研究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2.大数据时代背景下语言智能对外语教育的影响研究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3.国家意识视域下红色文化融入翻译课程的实现路径研究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4.中国式现代化话语体系的多模态隐喻研究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5.基于语料库的海昏侯墓考古发掘及其成果在国外传播影响的研究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6.语言输入与儿童语言发展的关系研究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7.特殊儿童的语言康复与语言教育研究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8.江西各地方言史料整理研究（分专题研究）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9.语言素养发展的层次、表征和促进条件研究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10.语言智能的前沿理论及研究范式</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11.数字化背景下陶瓷文化针对西语国家的传播研究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12.文化外宣背景下译者文化翻译能力提升路径研究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13.江西优秀文学作品的外译研究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14.井冈山红色语言景观多模态话语分析</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15.赣语都昌话语法语义范畴研究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16.数字人文视域下江西红色文化资源的外语叙事策略研究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17.中国文化“走出去”视域下基于语料库的中医药文化海外传播话语体系构建研究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18.赣东北濒危闽语方言岛调查与研究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十一、文学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1.习近平总书记关于新时代文化建设的重要论述研究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2.马克思主义文艺理论和评论建设研究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3.人类命运共同体视域下当代西方马克思主义的文艺思想研究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4.全面建设社会主义现代化国家的文化建设使命研究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5.中国文艺理论、文艺评论知识体系建构研究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6.中华文明的精神标识和文化精髓研究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 xml:space="preserve">7.新时代文艺中的人类文明新形态研究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8.新时代文艺创作的守正与创新研究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9.新媒介文艺现象考察及批评话语体系研究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10.中西比较视域下的文学阐释学研究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11.中华优秀传统文化的创造性转化和创新性发展研究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12.苏区红色经典故事的图像叙事与实践研究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13.新时代文艺创作中的美学思潮研究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14.新时代文艺评价体系建设研究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15.中华美学对当代艺术实践的引领作用研究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16.走向世界的中国文艺与中国文艺评论研究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17.江西瓷文化与瓷的叙事研究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18.江西诗派溯源及其地位研究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19.客家民俗文化特色与传承研究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20.客家文化与红色文化、阳明文化、地域文化的关系研究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21.“共大”遗址的文化价值发掘与利用研究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22.国家级非遗义门陈“家训传统”传承创新发展研究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23.江西经学文献整理与研究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24.江西古宗祠的保护与开发策略研究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25.同光体赣派研究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26.中央苏区文艺理论的当代价值研究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27.明清江右稀见戏曲文献整理编纂与研究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28.清末至民国新建胡氏著名人物文献整理与研究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29.</w:t>
      </w:r>
      <w:r>
        <w:rPr>
          <w:rStyle w:val="6"/>
          <w:rFonts w:hint="default" w:hAnsi="宋体"/>
          <w:lang w:bidi="ar"/>
        </w:rPr>
        <w:t>江西地域文化</w:t>
      </w:r>
      <w:r>
        <w:rPr>
          <w:rStyle w:val="6"/>
          <w:rFonts w:hint="eastAsia" w:ascii="仿宋_GB2312" w:hAnsi="仿宋_GB2312" w:eastAsia="仿宋_GB2312" w:cs="仿宋_GB2312"/>
          <w:sz w:val="32"/>
          <w:szCs w:val="32"/>
          <w:lang w:bidi="ar"/>
        </w:rPr>
        <w:t>与</w:t>
      </w:r>
      <w:r>
        <w:rPr>
          <w:rStyle w:val="7"/>
          <w:rFonts w:hint="eastAsia" w:ascii="仿宋_GB2312" w:hAnsi="仿宋_GB2312" w:eastAsia="仿宋_GB2312" w:cs="仿宋_GB2312"/>
          <w:sz w:val="32"/>
          <w:szCs w:val="32"/>
          <w:lang w:bidi="ar"/>
        </w:rPr>
        <w:t>旴</w:t>
      </w:r>
      <w:r>
        <w:rPr>
          <w:rStyle w:val="6"/>
          <w:rFonts w:hint="eastAsia" w:ascii="仿宋_GB2312" w:hAnsi="仿宋_GB2312" w:eastAsia="仿宋_GB2312" w:cs="仿宋_GB2312"/>
          <w:sz w:val="32"/>
          <w:szCs w:val="32"/>
          <w:lang w:bidi="ar"/>
        </w:rPr>
        <w:t>江</w:t>
      </w:r>
      <w:r>
        <w:rPr>
          <w:rStyle w:val="6"/>
          <w:rFonts w:hint="default" w:hAnsi="宋体"/>
          <w:lang w:bidi="ar"/>
        </w:rPr>
        <w:t>医学流派的互动及当代价值研究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30.宋代江西文人的活动空间与文学创作研究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31.江西书院文化的传承与发展研究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32.江西稻作文化的价值和文化遗产保护研究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33.江西庐陵文化传承与发展研究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十二、艺术学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1.习近平总书记关于新时代文艺工作的重要论述研究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2.文艺作品中的中国式现代化景观研究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3.中国艺术民俗学的理论与实践研究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4.文化自信与新时代文艺发展研究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5.影视讲好中国故事的理论与实践研究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6.中国影视、动漫、新媒体艺术与产业国际影响力研究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7.数字化赋能艺术创作研究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8.新时代社会艺术审美取向变迁研究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9.中央苏区音乐教育史料整理与研究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10.乡村振兴视域下我省地方戏曲艺术创作与传承研究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11.江西“世界遗产”美术创作与传播推广研究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12.当代影视人才培养现状及发展研究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13.以“五个一工程”为龙头的江西文艺品牌价值研究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14.江西舞蹈历史文化研究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 xml:space="preserve">15.勤廉江西视域下廉政音乐文化建设探究 </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16.人工智能时代传统技艺类非物质文化遗产数字化保护研究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17.博物馆文创产品设计研究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18.数字化视域下抚州地域文化传承与创新设计研究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19.红色文化基因在文创产品设计中的传承创新研究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20.汤显祖戏剧的日译与传播研究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21.以江西傩文化为中心的非物质文化遗产公共性及其重构研究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22.江西百年油画发展研究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23.红色文化融入艺术类专业思政课一体化建设的策略研究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24.御窑大遗址保护及其历史景观活化设计研究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25.国家陶瓷文创试验区下中国陶瓷文化崛起与复兴路径研究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26.江西“红色音乐”海外传播与实践研究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27.中国重要农业文化遗产的动态演变与旅游发展研究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28.我省红色影视文艺创作的现状、瓶颈分析和对策研究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十三、教育学•心理学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1.习近平总书记关于教育、科技、人才“三位一体”的重要论述研究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2.数字技术、数据技术赋能的教育高质量发展研究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3.自主知识体系建设与高等教育创新发展国际比较研究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4.科教融合、产教融合与现代职业教育体系建设研究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5.新时代高等教育发展的经验、理论创新与话语体系构建研究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6.高等教育放管服改革与治理体系现代化研究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7.推动和深化高等教育质量与评价改革研究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8.现代职业教育高质量发展与技术技能人才培养体系研究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9.大中小学思想政治教育一体化建设的理论与实践研究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10.建设优质均衡的基本公共教育服务体系研究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11.新时代师德师风建设和高素质教师队伍建设研究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12.健全学校、家庭、社会协同育人机制的实现方式研究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13.江西革命文化资源融入青少年国家认同教育研究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14.破解“中考分流”焦虑的有效机制和对策研究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15.持续推进“双减”政策落实，构建良好教育生态研究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16.共同富裕视域下乡村教育振兴研究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17.职业本科教育制度、标准与人才培养模式研究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18.对来赣东欧中亚留学生“讲好中国故事”的路径探索研究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19.乡村振兴战略下乡村教师专业成长的困境及支持体系研究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20.大学生遭受网络欺骗的心理及预防机制研究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21.后真相时代网络舆情危机事件对公众信任的影响机制与修复路径研究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22.特区老区红色旅游产教融合共同体模式研究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23.新职业教育法背景下中等教育阶段普职融通制度构建研究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24.红色基因融入医学</w:t>
      </w:r>
      <w:r>
        <w:rPr>
          <w:rFonts w:hint="eastAsia" w:ascii="仿宋_GB2312" w:hAnsi="宋体" w:eastAsia="仿宋_GB2312" w:cs="仿宋_GB2312"/>
          <w:color w:val="000000"/>
          <w:kern w:val="0"/>
          <w:sz w:val="32"/>
          <w:szCs w:val="32"/>
          <w:lang w:eastAsia="zh-CN" w:bidi="ar"/>
        </w:rPr>
        <w:t>人才</w:t>
      </w:r>
      <w:r>
        <w:rPr>
          <w:rFonts w:hint="eastAsia" w:ascii="仿宋_GB2312" w:hAnsi="宋体" w:eastAsia="仿宋_GB2312" w:cs="仿宋_GB2312"/>
          <w:color w:val="000000"/>
          <w:kern w:val="0"/>
          <w:sz w:val="32"/>
          <w:szCs w:val="32"/>
          <w:lang w:bidi="ar"/>
        </w:rPr>
        <w:t>培养</w:t>
      </w:r>
      <w:r>
        <w:rPr>
          <w:rFonts w:hint="eastAsia" w:ascii="仿宋_GB2312" w:hAnsi="宋体" w:eastAsia="仿宋_GB2312" w:cs="仿宋_GB2312"/>
          <w:color w:val="000000"/>
          <w:kern w:val="0"/>
          <w:sz w:val="32"/>
          <w:szCs w:val="32"/>
          <w:lang w:eastAsia="zh-CN" w:bidi="ar"/>
        </w:rPr>
        <w:t>的机制</w:t>
      </w:r>
      <w:r>
        <w:rPr>
          <w:rFonts w:hint="eastAsia" w:ascii="仿宋_GB2312" w:hAnsi="宋体" w:eastAsia="仿宋_GB2312" w:cs="仿宋_GB2312"/>
          <w:color w:val="000000"/>
          <w:kern w:val="0"/>
          <w:sz w:val="32"/>
          <w:szCs w:val="32"/>
          <w:lang w:bidi="ar"/>
        </w:rPr>
        <w:t>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十四、体育学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1.习近平总书记关于体育工作的重要论述研究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2.中国式现代化目标下体育学科建设研究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3.高校体育课程思政的高质量实施研究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4.基于区块链技术的大学生体育生活方式监测系统建设研究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5.“健康中国”背景下健康教育融入学校体育的机制与路径研究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6.新课程标准下中小学体能训练逻辑建构与内容设计研究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7.青少年体育锻炼智慧化管理平台的设计与应用研究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8.乡村振兴战略下城乡体育融合内外机理与实现路径研究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9.数字经济时代江西体育产业高质量发展研究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10.江西省高校竞技体育人才培养研究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11.江西省残疾人大众体育参与及残健融合研究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12.“健康中国”背景下我省高校教师身体健康状况与体育锻炼行为调查与对策研究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13.积极应对人口老龄化战略背景下江西省体医融合健康养老服务模式研究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14.“体育强国”背景下江西省青少年武术运动发展战略研究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15.“健康中国”背景下促进我省全民健身法制化、规范化研究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16.井冈山地区红色体育活态传承与创新转化研究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17.中央苏区体育文化研究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18.共同富裕背景下革命老区公共体育服务对口帮扶机制研究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19.乡村振兴背景下加强我省农村公共体育服务供给研究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十五、新闻传播学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1.习近平总书记关于新闻工作的重要论述研究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2.马克思主义新闻观研究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3.持续增强中华文明传播力和影响力研究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4.建构国家主流意识形态的传播与认同机制研究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5.构建中国特色新闻学话语体系研究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6.中国式现代化理论的海外翻译与传播研究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7.可信、可爱、可敬的中国形象展示与传播研究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8.中华优秀传统文化传播的群众路线研究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9.平台型媒体价值共创的理论逻辑、实践模式与创新路径研究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10.新时代革命老区新形象塑造与传播研究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11.红色文化在“一带一路”沿线国家传播策略的研究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12.“讲好江西故事”与江西优秀传统文化的国际传播研究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13.赣鄱优秀传统文化跨境传播能力建设研究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14.文化自信视域下江西文化“走出去”的外宣策略研究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w:t>
      </w:r>
      <w:r>
        <w:rPr>
          <w:rFonts w:hint="eastAsia" w:ascii="仿宋_GB2312" w:hAnsi="宋体" w:eastAsia="仿宋_GB2312" w:cs="仿宋_GB2312"/>
          <w:color w:val="000000"/>
          <w:kern w:val="0"/>
          <w:sz w:val="32"/>
          <w:szCs w:val="32"/>
          <w:lang w:eastAsia="zh-CN" w:bidi="ar"/>
        </w:rPr>
        <w:t>加快</w:t>
      </w:r>
      <w:r>
        <w:rPr>
          <w:rFonts w:hint="eastAsia" w:ascii="仿宋_GB2312" w:hAnsi="宋体" w:eastAsia="仿宋_GB2312" w:cs="仿宋_GB2312"/>
          <w:color w:val="000000"/>
          <w:kern w:val="0"/>
          <w:sz w:val="32"/>
          <w:szCs w:val="32"/>
          <w:lang w:bidi="ar"/>
        </w:rPr>
        <w:t>中国话语中国叙事体系构建研究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16.网民传播意识形态舆情信息行为的影响因素和正面引导研究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17.公共政策舆论的成因、演变与制约研究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18.江西诗派在朝鲜半岛的传播研究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19.跨文化视角下江西形象认知、构建与传播研究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20.江西红色文化短视频生产及在青年群体中的传播效果研究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21.“江西风景独好”的媒介品牌效应塑造研究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22.江西城市品牌形象的数字化塑造与网络传播研究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23.景德镇陶瓷故乡的全媒体传播研究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24.青少年网络偏差行为与媒介使用研究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25.江西名人名作对外传播研究（欧阳修、文天祥、黄庭坚、杨万里、陈云恪、朱耷等，分专题研究）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26.中央苏区媒介动员及其历史经验研究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27.中国陶瓷文化当代国际话语权构建研究</w:t>
      </w:r>
    </w:p>
    <w:p>
      <w:pPr>
        <w:snapToGrid w:val="0"/>
        <w:spacing w:before="312" w:beforeLines="100" w:after="156" w:afterLines="50" w:line="550" w:lineRule="exact"/>
        <w:jc w:val="center"/>
        <w:textAlignment w:val="center"/>
        <w:rPr>
          <w:rFonts w:hint="eastAsia" w:ascii="黑体" w:hAnsi="宋体" w:eastAsia="黑体" w:cs="黑体"/>
          <w:b/>
          <w:bCs/>
          <w:color w:val="000000"/>
          <w:kern w:val="0"/>
          <w:sz w:val="32"/>
          <w:szCs w:val="32"/>
          <w:lang w:bidi="ar"/>
        </w:rPr>
      </w:pPr>
      <w:r>
        <w:rPr>
          <w:rFonts w:hint="eastAsia" w:ascii="黑体" w:hAnsi="宋体" w:eastAsia="黑体" w:cs="黑体"/>
          <w:b/>
          <w:bCs/>
          <w:color w:val="000000"/>
          <w:kern w:val="0"/>
          <w:sz w:val="32"/>
          <w:szCs w:val="32"/>
          <w:lang w:bidi="ar"/>
        </w:rPr>
        <w:t>十六、图书情报学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1.中国式现代化与信息资源管理学科自主知识体系研究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2.总体国家安全观下应急情报管理与服务情报体系</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3.总体国家安全观中的网络信息内容生态安全研究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4.图书情报与档案机构高质量发展的现状与评价研究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5.信息资源管理学科人才培养体系研究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6.“卡脖子”问题的情报学研究模式建立及应用研究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7.互联网空间的数字安全与数据治理研究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8.开放科学环境下高端与公益学术交流平台建设研究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9.档案与文化遗产的数字人文研究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10.江西文献书目整理与研究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11.江西红色文献、红色档案与红色记忆挖掘与利用研究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12.元宇宙图书馆与元宇宙空间建设研究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13.数字文化战略与文化遗产数字化传承及价值赋能研究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14.大数据环境下社交媒体情报监测与舆情管理研究</w:t>
      </w:r>
    </w:p>
    <w:p>
      <w:pPr>
        <w:snapToGrid w:val="0"/>
        <w:spacing w:before="312" w:beforeLines="100" w:after="156" w:afterLines="50" w:line="55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十七、历史学</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1.习近平总书记关于跳出历史周期率的重要论述研究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2.习近平总书记关于历史主动性的重要论述探析</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3.马克思主义中国化时代化的历史基础和群众基础研究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4.马克思恩格斯的“世界历史”理论的当代价值研究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5.中国共产党第三个历史决议与新中国史研究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6.江西古代重大历史事件、历史现象、历史人物研究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7.江西古镇、古村历史文化研究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8.江西诗派与理学史料整理研究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9</w:t>
      </w:r>
      <w:r>
        <w:rPr>
          <w:rFonts w:hint="eastAsia" w:ascii="仿宋_GB2312" w:hAnsi="宋体" w:eastAsia="仿宋_GB2312" w:cs="仿宋_GB2312"/>
          <w:color w:val="000000"/>
          <w:kern w:val="0"/>
          <w:sz w:val="32"/>
          <w:szCs w:val="32"/>
          <w:lang w:bidi="ar"/>
        </w:rPr>
        <w:t>.江西传统村落非遗搜集、整理与数字化保护研究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.江西茶业近代转型研究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.江西农耕文化与中华文明探源研究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.中央苏区民间识字读物的收集、整理与研究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.景德镇瓷业传统业态传承保护与活化利用研究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.景德镇瓷业工人运动的历程、精神内涵及时代价值研究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.江右商帮文化史料整理和研究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6</w:t>
      </w:r>
      <w:r>
        <w:rPr>
          <w:rFonts w:hint="eastAsia" w:ascii="仿宋_GB2312" w:hAnsi="宋体" w:eastAsia="仿宋_GB2312" w:cs="仿宋_GB2312"/>
          <w:color w:val="000000"/>
          <w:kern w:val="0"/>
          <w:sz w:val="32"/>
          <w:szCs w:val="32"/>
          <w:lang w:bidi="ar"/>
        </w:rPr>
        <w:t>.江西水下文物调查研究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7</w:t>
      </w:r>
      <w:r>
        <w:rPr>
          <w:rFonts w:hint="eastAsia" w:ascii="仿宋_GB2312" w:hAnsi="宋体" w:eastAsia="仿宋_GB2312" w:cs="仿宋_GB2312"/>
          <w:color w:val="000000"/>
          <w:kern w:val="0"/>
          <w:sz w:val="32"/>
          <w:szCs w:val="32"/>
          <w:lang w:bidi="ar"/>
        </w:rPr>
        <w:t>.江西万里茶道文化遗产调查研究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w:t>
      </w:r>
      <w:r>
        <w:rPr>
          <w:rFonts w:hint="eastAsia" w:ascii="仿宋_GB2312" w:hAnsi="宋体" w:eastAsia="仿宋_GB2312" w:cs="仿宋_GB2312"/>
          <w:color w:val="000000"/>
          <w:kern w:val="0"/>
          <w:sz w:val="32"/>
          <w:szCs w:val="32"/>
          <w:lang w:val="en-US" w:eastAsia="zh-CN" w:bidi="ar"/>
        </w:rPr>
        <w:t>8</w:t>
      </w:r>
      <w:r>
        <w:rPr>
          <w:rFonts w:hint="eastAsia" w:ascii="仿宋_GB2312" w:hAnsi="宋体" w:eastAsia="仿宋_GB2312" w:cs="仿宋_GB2312"/>
          <w:color w:val="000000"/>
          <w:kern w:val="0"/>
          <w:sz w:val="32"/>
          <w:szCs w:val="32"/>
          <w:lang w:bidi="ar"/>
        </w:rPr>
        <w:t>.江西洪州窑文化价值的发掘和利用研究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val="en-US" w:eastAsia="zh-CN" w:bidi="ar"/>
        </w:rPr>
        <w:t>19</w:t>
      </w:r>
      <w:r>
        <w:rPr>
          <w:rFonts w:hint="eastAsia" w:ascii="仿宋_GB2312" w:hAnsi="宋体" w:eastAsia="仿宋_GB2312" w:cs="仿宋_GB2312"/>
          <w:color w:val="000000"/>
          <w:kern w:val="0"/>
          <w:sz w:val="32"/>
          <w:szCs w:val="32"/>
          <w:lang w:bidi="ar"/>
        </w:rPr>
        <w:t>.江西吉州窑历史和价值研究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0</w:t>
      </w:r>
      <w:r>
        <w:rPr>
          <w:rFonts w:hint="eastAsia" w:ascii="仿宋_GB2312" w:hAnsi="宋体" w:eastAsia="仿宋_GB2312" w:cs="仿宋_GB2312"/>
          <w:color w:val="000000"/>
          <w:kern w:val="0"/>
          <w:sz w:val="32"/>
          <w:szCs w:val="32"/>
          <w:lang w:bidi="ar"/>
        </w:rPr>
        <w:t>.海昏侯刘贺墓出土文物整理与研究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1</w:t>
      </w:r>
      <w:r>
        <w:rPr>
          <w:rFonts w:hint="eastAsia" w:ascii="仿宋_GB2312" w:hAnsi="宋体" w:eastAsia="仿宋_GB2312" w:cs="仿宋_GB2312"/>
          <w:color w:val="000000"/>
          <w:kern w:val="0"/>
          <w:sz w:val="32"/>
          <w:szCs w:val="32"/>
          <w:lang w:bidi="ar"/>
        </w:rPr>
        <w:t>.江西石窟寺历史文化价值研究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2</w:t>
      </w:r>
      <w:r>
        <w:rPr>
          <w:rFonts w:hint="eastAsia" w:ascii="仿宋_GB2312" w:hAnsi="宋体" w:eastAsia="仿宋_GB2312" w:cs="仿宋_GB2312"/>
          <w:color w:val="000000"/>
          <w:kern w:val="0"/>
          <w:sz w:val="32"/>
          <w:szCs w:val="32"/>
          <w:lang w:bidi="ar"/>
        </w:rPr>
        <w:t>.井冈山革命斗争史研究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3</w:t>
      </w:r>
      <w:r>
        <w:rPr>
          <w:rFonts w:hint="eastAsia" w:ascii="仿宋_GB2312" w:hAnsi="宋体" w:eastAsia="仿宋_GB2312" w:cs="仿宋_GB2312"/>
          <w:color w:val="000000"/>
          <w:kern w:val="0"/>
          <w:sz w:val="32"/>
          <w:szCs w:val="32"/>
          <w:lang w:bidi="ar"/>
        </w:rPr>
        <w:t>.中央苏区史专题研究</w:t>
      </w:r>
    </w:p>
    <w:p>
      <w:pPr>
        <w:snapToGrid w:val="0"/>
        <w:spacing w:line="55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.明清鄱阳湖农田水利开发与地方生态变动研究</w:t>
      </w:r>
    </w:p>
    <w:p>
      <w:pPr>
        <w:snapToGrid w:val="0"/>
        <w:spacing w:before="312" w:beforeLines="100" w:after="156" w:afterLines="50" w:line="560" w:lineRule="exact"/>
        <w:jc w:val="center"/>
        <w:textAlignment w:val="center"/>
        <w:rPr>
          <w:rFonts w:hint="eastAsia" w:ascii="黑体" w:hAnsi="宋体" w:eastAsia="黑体" w:cs="黑体"/>
          <w:b/>
          <w:bCs/>
          <w:color w:val="000000"/>
          <w:sz w:val="32"/>
          <w:szCs w:val="32"/>
        </w:rPr>
      </w:pPr>
      <w:r>
        <w:rPr>
          <w:rFonts w:hint="eastAsia" w:ascii="黑体" w:hAnsi="宋体" w:eastAsia="黑体" w:cs="黑体"/>
          <w:b/>
          <w:bCs/>
          <w:color w:val="000000"/>
          <w:kern w:val="0"/>
          <w:sz w:val="32"/>
          <w:szCs w:val="32"/>
          <w:lang w:bidi="ar"/>
        </w:rPr>
        <w:t>十八、管理学</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1.加快江西新产业新业态培育创新发展的对策建议</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2.巩固拓展我省脱贫攻坚成果与增强内生发展动力研究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3.全面推进我省乡村振兴战略及城乡融合发展研究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4.政府效率推动中国式现代化江西篇章的实现路径研究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5.构建现代化江西综合绩效指标与考评体系研究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6.数字赋能江西制造业企业绿色转型的效应测度、路径与对策研究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7.江西产业集群加快完善智能制造生态体系的对策研究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8.新发展格局下江西先进制造业培育与提升研究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9.数字经济创新政策的区域比较和评估研究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10.优化营商环境视域下的江西省市场监管改革与创新路径研究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11.政府服务能力提升视角下营商环境评估的创新方法与实践路径研究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12.优化企业营商环境与推动数字政府建设对策研究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13.新发展格局下数字营商环境对消费升级的影响研究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14.营商环境优化对制造业企业高质量发展的影响研究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15.加快江西先进算力中心建设研究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16.银行数字化转型与江西省产业结构优化研究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17.江西省能源密集型企业绿色创新的协同机制研究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18.江西打造新时代乡村振兴样板之地的重点难点问题研究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19.不同合作模式下农产品供应链韧性研究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20.乡村振兴战略下江西农村人力资源有效供给机制研究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21.数字经济背景下我省劳动力结构优化的实现路径研究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22.数字化新媒体视域强农品牌“出圈”的策略机制研究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23.数字化转型背景下公司治理模式的变革研究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24.江西科技创新与专精特新“小巨人”企业培育研究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lang w:eastAsia="zh-CN"/>
        </w:rPr>
      </w:pPr>
      <w:r>
        <w:rPr>
          <w:rFonts w:hint="eastAsia" w:ascii="仿宋_GB2312" w:hAnsi="宋体" w:eastAsia="仿宋_GB2312" w:cs="仿宋_GB2312"/>
          <w:color w:val="000000"/>
          <w:kern w:val="0"/>
          <w:sz w:val="32"/>
          <w:szCs w:val="32"/>
          <w:lang w:bidi="ar"/>
        </w:rPr>
        <w:t>25.中国式现代化进程中的企业社会责任与管理创新</w:t>
      </w:r>
      <w:r>
        <w:rPr>
          <w:rFonts w:hint="eastAsia" w:ascii="仿宋_GB2312" w:hAnsi="宋体" w:eastAsia="仿宋_GB2312" w:cs="仿宋_GB2312"/>
          <w:color w:val="000000"/>
          <w:kern w:val="0"/>
          <w:sz w:val="32"/>
          <w:szCs w:val="32"/>
          <w:lang w:eastAsia="zh-CN" w:bidi="ar"/>
        </w:rPr>
        <w:t>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26.国企核心竞争力提升路径和深化改革研究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27.江西VR产业链加速延链补链的对策研究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28.江西实现碳中和愿景的路径选择与政策体系研究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29.江西省实现“双碳”目标的社会转型发展协同效益与转型成本研究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30.“双碳”目标下我省新型能源体系建设的路径与发展机制研究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31.江西省碳排放统计核算制度体系研究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32.“两创”视域下中医药人才培养模式优化研究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33.“双碳”目标下江西中医药特色文化和生态旅游融合发展的机制与路径研究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34.江西省中药产业发展现状、问题和对策研究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35.数字赋能养老产业高质量发展的机理与政策研究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36.城市社区居民低碳行为演化机理与引导策略研究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37.基本公共服务可及性与共同富裕：内在机理、推进逻辑与实现路径</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38.新发展阶段我省新型农村集体经济促进农民共同富裕的路径研究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39.创新发展我省现代乡村服务业的对策研究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40.提升我省农村公共服务可及性</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41.数字技术赋能传统节日活动与旅游融合发展的策略研究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42.文旅融合背景下江西红色旅游可持续发展战略研究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43.新时代革命老区旅游业与乡村振兴协同发展研究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44.江西文化和旅游深度融合发展的路径和机制研究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45.江西旅游景区业态提升路径研究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46.绿色旅游的理论内涵与发展模式研究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47.元宇宙空间与旅游生产方式创新研究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48.“互联网+”背景下我</w:t>
      </w:r>
      <w:r>
        <w:rPr>
          <w:rFonts w:hint="eastAsia" w:ascii="仿宋_GB2312" w:hAnsi="宋体" w:eastAsia="仿宋_GB2312" w:cs="仿宋_GB2312"/>
          <w:color w:val="000000"/>
          <w:kern w:val="0"/>
          <w:sz w:val="32"/>
          <w:szCs w:val="32"/>
          <w:lang w:eastAsia="zh-CN" w:bidi="ar"/>
        </w:rPr>
        <w:t>省</w:t>
      </w:r>
      <w:r>
        <w:rPr>
          <w:rFonts w:hint="eastAsia" w:ascii="仿宋_GB2312" w:hAnsi="宋体" w:eastAsia="仿宋_GB2312" w:cs="仿宋_GB2312"/>
          <w:color w:val="000000"/>
          <w:kern w:val="0"/>
          <w:sz w:val="32"/>
          <w:szCs w:val="32"/>
          <w:lang w:bidi="ar"/>
        </w:rPr>
        <w:t>红色旅游发展的赋能机制研究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49.加快江西低空经济高质量发展研究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50.江西省科研管理数字化转型的现状与提升策略研究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51.江西传统村落保护利用研究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52.文旅融合背景下促进客家乡村振兴路径研究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53.客家融入粤港澳大湾区建设</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政策支持体系研究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54.战略新兴产业、卡脖子技术相关的工程专业人才培养对策研究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55.水资源可持续利用视角下江西省河长制政策效应评估及重构研究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56.促进我省房地产业平稳发展和加强风险防范对策研究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57.推进国家级景德镇陶瓷文化生态保护实验区建设的意义和路径研究</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58.我省革命文物保护利用</w:t>
      </w:r>
      <w:r>
        <w:rPr>
          <w:rFonts w:hint="eastAsia" w:ascii="仿宋_GB2312" w:hAnsi="宋体" w:eastAsia="仿宋_GB2312" w:cs="仿宋_GB2312"/>
          <w:color w:val="000000"/>
          <w:kern w:val="0"/>
          <w:sz w:val="32"/>
          <w:szCs w:val="32"/>
          <w:lang w:eastAsia="zh-CN" w:bidi="ar"/>
        </w:rPr>
        <w:t>的</w:t>
      </w:r>
      <w:r>
        <w:rPr>
          <w:rFonts w:hint="eastAsia" w:ascii="仿宋_GB2312" w:hAnsi="宋体" w:eastAsia="仿宋_GB2312" w:cs="仿宋_GB2312"/>
          <w:color w:val="000000"/>
          <w:kern w:val="0"/>
          <w:sz w:val="32"/>
          <w:szCs w:val="32"/>
          <w:lang w:bidi="ar"/>
        </w:rPr>
        <w:t>探索与思考</w:t>
      </w:r>
    </w:p>
    <w:p>
      <w:pPr>
        <w:snapToGrid w:val="0"/>
        <w:spacing w:line="560" w:lineRule="exact"/>
        <w:ind w:left="480" w:hanging="480" w:hangingChars="150"/>
        <w:textAlignment w:val="center"/>
        <w:rPr>
          <w:rFonts w:hint="eastAsia" w:ascii="仿宋_GB2312" w:hAnsi="宋体" w:eastAsia="仿宋_GB2312" w:cs="仿宋_GB2312"/>
          <w:color w:val="000000"/>
          <w:sz w:val="32"/>
          <w:szCs w:val="32"/>
        </w:rPr>
      </w:pPr>
      <w:r>
        <w:rPr>
          <w:rFonts w:hint="eastAsia" w:ascii="仿宋_GB2312" w:hAnsi="宋体" w:eastAsia="仿宋_GB2312" w:cs="仿宋_GB2312"/>
          <w:color w:val="000000"/>
          <w:kern w:val="0"/>
          <w:sz w:val="32"/>
          <w:szCs w:val="32"/>
          <w:lang w:bidi="ar"/>
        </w:rPr>
        <w:t>59.我省陶瓷文物保护和对外宣传研究</w:t>
      </w:r>
    </w:p>
    <w:p>
      <w:pPr>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NzIwMjhjMjBlOTQxM2M1MTFiYjYxZWQyODMzNzYifQ=="/>
  </w:docVars>
  <w:rsids>
    <w:rsidRoot w:val="12F9459F"/>
    <w:rsid w:val="12F9459F"/>
    <w:rsid w:val="24E0567E"/>
    <w:rsid w:val="2F2F5238"/>
    <w:rsid w:val="37645C9B"/>
    <w:rsid w:val="378553FE"/>
    <w:rsid w:val="3C666012"/>
    <w:rsid w:val="4A4A0D21"/>
    <w:rsid w:val="53576592"/>
    <w:rsid w:val="5BFC5BF3"/>
    <w:rsid w:val="7ED95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黑体" w:hAnsi="宋体" w:eastAsia="黑体" w:cs="黑体"/>
      <w:b/>
      <w:bCs/>
      <w:color w:val="000000"/>
      <w:sz w:val="32"/>
      <w:szCs w:val="32"/>
      <w:u w:val="none"/>
    </w:rPr>
  </w:style>
  <w:style w:type="character" w:customStyle="1" w:styleId="5">
    <w:name w:val="font101"/>
    <w:basedOn w:val="3"/>
    <w:qFormat/>
    <w:uiPriority w:val="0"/>
    <w:rPr>
      <w:rFonts w:hint="default" w:ascii="Times New Roman" w:hAnsi="Times New Roman" w:cs="Times New Roman"/>
      <w:b/>
      <w:bCs/>
      <w:color w:val="000000"/>
      <w:sz w:val="32"/>
      <w:szCs w:val="32"/>
      <w:u w:val="none"/>
    </w:rPr>
  </w:style>
  <w:style w:type="character" w:customStyle="1" w:styleId="6">
    <w:name w:val="font41"/>
    <w:basedOn w:val="3"/>
    <w:qFormat/>
    <w:uiPriority w:val="0"/>
    <w:rPr>
      <w:rFonts w:hint="eastAsia" w:ascii="仿宋_GB2312" w:eastAsia="仿宋_GB2312" w:cs="仿宋_GB2312"/>
      <w:color w:val="000000"/>
      <w:sz w:val="32"/>
      <w:szCs w:val="32"/>
      <w:u w:val="none"/>
    </w:rPr>
  </w:style>
  <w:style w:type="character" w:customStyle="1" w:styleId="7">
    <w:name w:val="font112"/>
    <w:basedOn w:val="3"/>
    <w:qFormat/>
    <w:uiPriority w:val="0"/>
    <w:rPr>
      <w:rFonts w:hint="eastAsia" w:ascii="宋体" w:hAnsi="宋体" w:eastAsia="宋体" w:cs="宋体"/>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11862</Words>
  <Characters>12808</Characters>
  <Lines>0</Lines>
  <Paragraphs>0</Paragraphs>
  <TotalTime>1</TotalTime>
  <ScaleCrop>false</ScaleCrop>
  <LinksUpToDate>false</LinksUpToDate>
  <CharactersWithSpaces>12827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2023-03-01T03:08:00Z</dcterms:created>
  <dc:creator>悠悠我欣</dc:creator>
  <cp:lastModifiedBy>悠悠我欣</cp:lastModifiedBy>
  <dcterms:modified xsi:type="dcterms:W3CDTF">2023-03-01T08:34:43Z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B0340DF9217544D8ACC0026150709E0C</vt:lpwstr>
  </property>
</Properties>
</file>