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  <w:rPr>
          <w:rFonts w:hint="eastAsia" w:ascii="楷体_GB2312" w:eastAsia="楷体_GB2312"/>
          <w:b/>
          <w:sz w:val="72"/>
          <w:szCs w:val="72"/>
        </w:rPr>
      </w:pPr>
    </w:p>
    <w:p>
      <w:pPr>
        <w:spacing w:line="360" w:lineRule="auto"/>
        <w:jc w:val="center"/>
        <w:rPr>
          <w:rFonts w:hint="eastAsia" w:ascii="楷体_GB2312" w:eastAsia="楷体_GB2312"/>
          <w:b/>
          <w:sz w:val="72"/>
          <w:szCs w:val="72"/>
        </w:rPr>
      </w:pPr>
    </w:p>
    <w:p>
      <w:pPr>
        <w:spacing w:line="360" w:lineRule="auto"/>
        <w:jc w:val="center"/>
        <w:rPr>
          <w:rFonts w:hint="eastAsia" w:ascii="楷体_GB2312" w:eastAsia="楷体_GB2312"/>
          <w:b/>
          <w:sz w:val="72"/>
          <w:szCs w:val="72"/>
        </w:rPr>
      </w:pPr>
      <w:r>
        <w:rPr>
          <w:rFonts w:hint="eastAsia" w:ascii="楷体_GB2312" w:eastAsia="楷体_GB2312"/>
          <w:b/>
          <w:sz w:val="72"/>
          <w:szCs w:val="72"/>
        </w:rPr>
        <w:t>江西省科技</w:t>
      </w:r>
      <w:r>
        <w:rPr>
          <w:rFonts w:hint="eastAsia" w:ascii="楷体_GB2312" w:eastAsia="楷体_GB2312"/>
          <w:b/>
          <w:sz w:val="72"/>
          <w:szCs w:val="72"/>
          <w:lang w:val="en-US" w:eastAsia="zh-Hans"/>
        </w:rPr>
        <w:t>专家库</w:t>
      </w:r>
      <w:r>
        <w:rPr>
          <w:rFonts w:hint="eastAsia" w:ascii="楷体_GB2312" w:eastAsia="楷体_GB2312"/>
          <w:b/>
          <w:sz w:val="72"/>
          <w:szCs w:val="72"/>
        </w:rPr>
        <w:t>系统</w:t>
      </w:r>
    </w:p>
    <w:p>
      <w:pPr>
        <w:spacing w:line="360" w:lineRule="auto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 w:ascii="楷体_GB2312" w:eastAsia="楷体_GB2312"/>
          <w:b/>
          <w:sz w:val="72"/>
          <w:szCs w:val="72"/>
        </w:rPr>
        <w:t>使用手册</w:t>
      </w:r>
    </w:p>
    <w:p>
      <w:pPr>
        <w:spacing w:line="360" w:lineRule="auto"/>
        <w:jc w:val="center"/>
        <w:rPr>
          <w:rFonts w:ascii="楷体_GB2312" w:eastAsia="楷体_GB2312"/>
          <w:b/>
          <w:sz w:val="72"/>
          <w:szCs w:val="72"/>
        </w:rPr>
      </w:pPr>
    </w:p>
    <w:p>
      <w:pPr>
        <w:spacing w:line="360" w:lineRule="auto"/>
        <w:jc w:val="center"/>
        <w:rPr>
          <w:rFonts w:ascii="楷体_GB2312" w:eastAsia="楷体_GB2312"/>
          <w:b/>
          <w:sz w:val="72"/>
          <w:szCs w:val="72"/>
        </w:rPr>
      </w:pPr>
    </w:p>
    <w:p>
      <w:pPr>
        <w:spacing w:line="360" w:lineRule="auto"/>
        <w:jc w:val="center"/>
        <w:rPr>
          <w:rFonts w:ascii="楷体_GB2312" w:eastAsia="楷体_GB2312"/>
          <w:b/>
          <w:sz w:val="72"/>
          <w:szCs w:val="72"/>
        </w:rPr>
      </w:pPr>
    </w:p>
    <w:p>
      <w:pPr>
        <w:spacing w:line="360" w:lineRule="auto"/>
        <w:jc w:val="center"/>
        <w:rPr>
          <w:rFonts w:hint="default" w:eastAsiaTheme="minorEastAsia"/>
          <w:sz w:val="72"/>
          <w:szCs w:val="96"/>
          <w:lang w:val="en-US" w:eastAsia="zh-Hans"/>
        </w:rPr>
      </w:pPr>
      <w:r>
        <w:rPr>
          <w:rFonts w:hint="eastAsia"/>
          <w:sz w:val="72"/>
          <w:szCs w:val="96"/>
          <w:lang w:val="en-US" w:eastAsia="zh-Hans"/>
        </w:rPr>
        <w:t>评审专家个人信息维护</w:t>
      </w:r>
    </w:p>
    <w:p>
      <w:pPr>
        <w:spacing w:line="360" w:lineRule="auto"/>
        <w:jc w:val="center"/>
      </w:pPr>
    </w:p>
    <w:p>
      <w:pPr>
        <w:spacing w:line="360" w:lineRule="auto"/>
        <w:jc w:val="center"/>
      </w:pPr>
    </w:p>
    <w:p>
      <w:pPr>
        <w:spacing w:line="360" w:lineRule="auto"/>
        <w:jc w:val="center"/>
      </w:pPr>
    </w:p>
    <w:p>
      <w:pPr>
        <w:spacing w:line="360" w:lineRule="auto"/>
        <w:jc w:val="center"/>
      </w:pPr>
    </w:p>
    <w:p>
      <w:pPr>
        <w:spacing w:line="360" w:lineRule="auto"/>
        <w:jc w:val="center"/>
      </w:pPr>
    </w:p>
    <w:p>
      <w:pPr>
        <w:spacing w:line="360" w:lineRule="auto"/>
        <w:jc w:val="center"/>
      </w:pPr>
    </w:p>
    <w:p>
      <w:pPr>
        <w:spacing w:line="360" w:lineRule="auto"/>
        <w:jc w:val="center"/>
      </w:pPr>
    </w:p>
    <w:p>
      <w:pPr>
        <w:spacing w:line="360" w:lineRule="auto"/>
        <w:jc w:val="center"/>
      </w:pPr>
    </w:p>
    <w:p/>
    <w:p/>
    <w:p/>
    <w:p/>
    <w:p/>
    <w:p/>
    <w:p/>
    <w:p>
      <w:pPr>
        <w:pStyle w:val="2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60"/>
        <w:textAlignment w:val="auto"/>
        <w:rPr>
          <w:rFonts w:hint="eastAsia"/>
          <w:sz w:val="44"/>
          <w:szCs w:val="44"/>
          <w:lang w:val="en-US" w:eastAsia="zh-Hans"/>
        </w:rPr>
      </w:pPr>
      <w:r>
        <w:rPr>
          <w:rFonts w:hint="eastAsia"/>
          <w:sz w:val="44"/>
          <w:szCs w:val="44"/>
          <w:lang w:val="en-US" w:eastAsia="zh-Hans"/>
        </w:rPr>
        <w:t>评审专家</w:t>
      </w:r>
    </w:p>
    <w:p>
      <w:pPr>
        <w:pStyle w:val="3"/>
        <w:numPr>
          <w:ilvl w:val="0"/>
          <w:numId w:val="2"/>
        </w:numPr>
        <w:bidi w:val="0"/>
        <w:rPr>
          <w:rFonts w:hint="eastAsia" w:asciiTheme="majorEastAsia" w:hAnsiTheme="majorEastAsia" w:eastAsiaTheme="majorEastAsia" w:cstheme="majorEastAsia"/>
          <w:lang w:val="en-US" w:eastAsia="zh-Hans"/>
        </w:rPr>
      </w:pPr>
      <w:r>
        <w:rPr>
          <w:rFonts w:hint="eastAsia" w:asciiTheme="majorEastAsia" w:hAnsiTheme="majorEastAsia" w:eastAsiaTheme="majorEastAsia" w:cstheme="majorEastAsia"/>
          <w:lang w:val="en-US" w:eastAsia="zh-Hans"/>
        </w:rPr>
        <w:t>评审专家个人信息维护</w:t>
      </w:r>
    </w:p>
    <w:p>
      <w:pPr>
        <w:numPr>
          <w:ilvl w:val="0"/>
          <w:numId w:val="3"/>
        </w:numPr>
        <w:adjustRightInd w:val="0"/>
        <w:spacing w:line="312" w:lineRule="auto"/>
        <w:ind w:left="425" w:leftChars="0" w:hanging="425" w:firstLineChars="0"/>
        <w:jc w:val="left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/>
          <w:sz w:val="24"/>
          <w:szCs w:val="24"/>
          <w:lang w:val="en-US" w:eastAsia="zh-Hans"/>
        </w:rPr>
        <w:t>第一步：</w:t>
      </w:r>
      <w:r>
        <w:rPr>
          <w:rFonts w:hint="eastAsia" w:ascii="宋体" w:hAnsi="宋体"/>
          <w:color w:val="000000"/>
          <w:sz w:val="24"/>
          <w:szCs w:val="24"/>
        </w:rPr>
        <w:t>打开谷歌或火狐浏览器，输入系统网址：</w:t>
      </w:r>
      <w:r>
        <w:rPr>
          <w:rFonts w:hint="eastAsia"/>
          <w:color w:val="0000FF"/>
          <w:sz w:val="22"/>
          <w:szCs w:val="22"/>
          <w:u w:val="single"/>
          <w:lang w:val="en-US" w:eastAsia="zh-Hans"/>
        </w:rPr>
        <w:t>http://kjzjk.jxinfo.net.cn</w:t>
      </w:r>
    </w:p>
    <w:p>
      <w:pPr>
        <w:numPr>
          <w:ilvl w:val="0"/>
          <w:numId w:val="0"/>
        </w:numPr>
        <w:adjustRightInd w:val="0"/>
        <w:spacing w:line="312" w:lineRule="auto"/>
        <w:ind w:leftChars="0"/>
        <w:jc w:val="left"/>
        <w:rPr>
          <w:rFonts w:hint="eastAsia" w:ascii="宋体" w:hAnsi="宋体"/>
          <w:color w:val="000000"/>
          <w:sz w:val="24"/>
          <w:szCs w:val="24"/>
          <w:lang w:val="en-US" w:eastAsia="zh-Hans"/>
        </w:rPr>
      </w:pPr>
      <w:r>
        <w:rPr>
          <w:rFonts w:hint="eastAsia" w:ascii="宋体" w:hAnsi="宋体"/>
          <w:color w:val="000000"/>
          <w:sz w:val="24"/>
          <w:szCs w:val="24"/>
          <w:lang w:val="en-US" w:eastAsia="zh-Hans"/>
        </w:rPr>
        <w:t>用个人注册的账号密码登录系统（被添加为评审专家后会收到短信，短信中有提供账号密码），系统提醒先完善个人信息。通过点击待办事项提示或者导航菜单“系统管理</w:t>
      </w:r>
      <w:r>
        <w:rPr>
          <w:rFonts w:hint="eastAsia" w:ascii="宋体" w:hAnsi="宋体"/>
          <w:color w:val="000000"/>
          <w:sz w:val="24"/>
          <w:szCs w:val="24"/>
        </w:rPr>
        <w:t>→</w:t>
      </w:r>
      <w:r>
        <w:rPr>
          <w:rFonts w:hint="eastAsia" w:ascii="宋体" w:hAnsi="宋体"/>
          <w:color w:val="000000"/>
          <w:sz w:val="24"/>
          <w:szCs w:val="24"/>
          <w:lang w:val="en-US" w:eastAsia="zh-Hans"/>
        </w:rPr>
        <w:t>个人信息维护”，进入个人信息维护页面。</w:t>
      </w:r>
    </w:p>
    <w:p>
      <w:pPr>
        <w:numPr>
          <w:ilvl w:val="0"/>
          <w:numId w:val="0"/>
        </w:numPr>
        <w:adjustRightInd w:val="0"/>
        <w:spacing w:line="312" w:lineRule="auto"/>
        <w:ind w:leftChars="0"/>
        <w:jc w:val="left"/>
      </w:pPr>
      <w:r>
        <w:drawing>
          <wp:inline distT="0" distB="0" distL="114300" distR="114300">
            <wp:extent cx="5268595" cy="2804160"/>
            <wp:effectExtent l="0" t="0" r="14605" b="15240"/>
            <wp:docPr id="2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0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adjustRightInd w:val="0"/>
        <w:spacing w:line="312" w:lineRule="auto"/>
        <w:ind w:left="425" w:leftChars="0" w:hanging="425" w:firstLineChars="0"/>
        <w:jc w:val="left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  <w:lang w:val="en-US" w:eastAsia="zh-Hans"/>
        </w:rPr>
        <w:t>第二步：如实填写“基本信息”、“擅长学科”、“科研活动情况”、“个人简介”、“研究成果”、“承担项目情况”栏的信息。在“附件信息”栏目中上传所需要提供的相关证明材料。</w:t>
      </w:r>
    </w:p>
    <w:p>
      <w:pPr>
        <w:rPr>
          <w:rFonts w:hint="eastAsia"/>
          <w:lang w:val="en-US" w:eastAsia="zh-Hans"/>
        </w:rPr>
      </w:pPr>
      <w:r>
        <w:drawing>
          <wp:inline distT="0" distB="0" distL="114300" distR="114300">
            <wp:extent cx="5273040" cy="2976880"/>
            <wp:effectExtent l="0" t="0" r="10160" b="20320"/>
            <wp:docPr id="2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7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adjustRightInd w:val="0"/>
        <w:spacing w:line="312" w:lineRule="auto"/>
        <w:ind w:left="425" w:leftChars="0" w:hanging="425" w:firstLineChars="0"/>
        <w:jc w:val="left"/>
        <w:rPr>
          <w:rFonts w:hint="default" w:ascii="宋体" w:hAnsi="宋体"/>
          <w:color w:val="000000"/>
          <w:sz w:val="24"/>
          <w:szCs w:val="24"/>
          <w:lang w:val="en-US" w:eastAsia="zh-Hans"/>
        </w:rPr>
      </w:pPr>
      <w:r>
        <w:rPr>
          <w:rFonts w:hint="eastAsia" w:ascii="宋体" w:hAnsi="宋体"/>
          <w:color w:val="000000"/>
          <w:sz w:val="24"/>
          <w:szCs w:val="24"/>
          <w:lang w:val="en-US" w:eastAsia="zh-Hans"/>
        </w:rPr>
        <w:t>第三步：页面信息填写完成后，点击“填写检查”按钮，填写检查合格则可点击“提交”按钮。</w:t>
      </w:r>
    </w:p>
    <w:p>
      <w:pPr>
        <w:numPr>
          <w:ilvl w:val="0"/>
          <w:numId w:val="0"/>
        </w:numPr>
        <w:adjustRightInd w:val="0"/>
        <w:spacing w:line="312" w:lineRule="auto"/>
        <w:ind w:left="480" w:leftChars="0" w:hanging="480" w:hangingChars="200"/>
        <w:jc w:val="left"/>
        <w:rPr>
          <w:rFonts w:hint="eastAsia" w:ascii="宋体" w:hAnsi="宋体"/>
          <w:color w:val="000000"/>
          <w:sz w:val="24"/>
          <w:szCs w:val="24"/>
          <w:lang w:val="en-US" w:eastAsia="zh-Hans"/>
        </w:rPr>
      </w:pPr>
      <w:r>
        <w:rPr>
          <w:rFonts w:hint="default" w:ascii="宋体" w:hAnsi="宋体"/>
          <w:color w:val="000000"/>
          <w:sz w:val="24"/>
          <w:szCs w:val="24"/>
          <w:lang w:eastAsia="zh-Hans"/>
        </w:rPr>
        <w:t xml:space="preserve">    </w:t>
      </w:r>
      <w:r>
        <w:rPr>
          <w:rFonts w:hint="eastAsia" w:ascii="宋体" w:hAnsi="宋体"/>
          <w:b/>
          <w:bCs/>
          <w:color w:val="000000"/>
          <w:sz w:val="24"/>
          <w:szCs w:val="24"/>
          <w:lang w:val="en-US" w:eastAsia="zh-Hans"/>
        </w:rPr>
        <w:t>注意</w:t>
      </w:r>
      <w:r>
        <w:rPr>
          <w:rFonts w:hint="eastAsia" w:ascii="宋体" w:hAnsi="宋体"/>
          <w:color w:val="000000"/>
          <w:sz w:val="24"/>
          <w:szCs w:val="24"/>
          <w:lang w:val="en-US" w:eastAsia="zh-Hans"/>
        </w:rPr>
        <w:t>：加带*号的信息项必须填写。为了防止在填写时丢失信息，请在填写过程中经常点击“暂存”按钮。</w:t>
      </w:r>
    </w:p>
    <w:p>
      <w:pPr>
        <w:numPr>
          <w:ilvl w:val="0"/>
          <w:numId w:val="0"/>
        </w:numPr>
        <w:adjustRightInd w:val="0"/>
        <w:spacing w:line="312" w:lineRule="auto"/>
        <w:ind w:leftChars="0"/>
        <w:jc w:val="left"/>
      </w:pPr>
      <w:r>
        <w:drawing>
          <wp:inline distT="0" distB="0" distL="114300" distR="114300">
            <wp:extent cx="5269865" cy="2653030"/>
            <wp:effectExtent l="0" t="0" r="13335" b="13970"/>
            <wp:docPr id="2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5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Times New Roman" w:eastAsia="宋体"/>
          <w:b w:val="0"/>
          <w:i w:val="0"/>
          <w:color w:val="000000"/>
          <w:sz w:val="24"/>
          <w:szCs w:val="24"/>
        </w:rPr>
      </w:pPr>
    </w:p>
    <w:p>
      <w:pPr>
        <w:rPr>
          <w:rFonts w:hint="eastAsia" w:ascii="宋体" w:hAnsi="Times New Roman" w:eastAsia="宋体"/>
          <w:b w:val="0"/>
          <w:i w:val="0"/>
          <w:color w:val="FF0000"/>
          <w:sz w:val="24"/>
          <w:szCs w:val="24"/>
          <w:lang w:eastAsia="zh-Hans"/>
        </w:rPr>
      </w:pPr>
      <w:r>
        <w:rPr>
          <w:rFonts w:hint="eastAsia" w:ascii="宋体" w:hAnsi="Times New Roman" w:eastAsia="宋体"/>
          <w:b w:val="0"/>
          <w:i w:val="0"/>
          <w:color w:val="FF0000"/>
          <w:sz w:val="24"/>
          <w:szCs w:val="24"/>
          <w:lang w:val="en-US" w:eastAsia="zh-Hans"/>
        </w:rPr>
        <w:t>温馨提示：</w:t>
      </w:r>
      <w:r>
        <w:rPr>
          <w:rFonts w:ascii="宋体" w:hAnsi="Times New Roman" w:eastAsia="宋体"/>
          <w:b w:val="0"/>
          <w:i w:val="0"/>
          <w:color w:val="FF0000"/>
          <w:sz w:val="24"/>
          <w:szCs w:val="24"/>
        </w:rPr>
        <w:t>省外专家首次完善个人信息提交后不走审核流程，提交成功即生效。导入的专家直接赋予“评审专家”角色，“审核通过”状态</w:t>
      </w:r>
      <w:r>
        <w:rPr>
          <w:rFonts w:hint="eastAsia" w:ascii="宋体" w:hAnsi="Times New Roman" w:eastAsia="宋体"/>
          <w:b w:val="0"/>
          <w:i w:val="0"/>
          <w:color w:val="FF0000"/>
          <w:sz w:val="24"/>
          <w:szCs w:val="24"/>
          <w:lang w:eastAsia="zh-Hans"/>
        </w:rPr>
        <w:t>。</w:t>
      </w:r>
    </w:p>
    <w:p>
      <w:pPr>
        <w:rPr>
          <w:rFonts w:ascii="宋体" w:hAnsi="Times New Roman" w:eastAsia="宋体"/>
          <w:b w:val="0"/>
          <w:i w:val="0"/>
          <w:color w:val="FF0000"/>
          <w:sz w:val="24"/>
          <w:szCs w:val="24"/>
        </w:rPr>
      </w:pPr>
      <w:r>
        <w:rPr>
          <w:rFonts w:ascii="宋体" w:hAnsi="Times New Roman" w:eastAsia="宋体"/>
          <w:b w:val="0"/>
          <w:i w:val="0"/>
          <w:color w:val="FF0000"/>
          <w:sz w:val="24"/>
          <w:szCs w:val="24"/>
        </w:rPr>
        <w:t>省内和省外专家第二次及以后每次修改信息，若没有修改关键信息，则不需要审核，专家直接提交生效。若修改了关键信息，则需要重新走关键信息修改审核流程。关键信息包括：职称、最高学位、工作单位、专家分类（修改了大的分类，如原本是技术专家，后修改成了管理专家）、科技部领域、基金委领域。</w:t>
      </w:r>
    </w:p>
    <w:p>
      <w:pPr>
        <w:rPr>
          <w:rFonts w:ascii="宋体" w:hAnsi="Times New Roman" w:eastAsia="宋体"/>
          <w:b w:val="0"/>
          <w:i w:val="0"/>
          <w:color w:val="FF0000"/>
          <w:sz w:val="24"/>
          <w:szCs w:val="24"/>
        </w:rPr>
      </w:pPr>
    </w:p>
    <w:p>
      <w:pPr>
        <w:rPr>
          <w:rFonts w:hint="default" w:ascii="宋体" w:hAnsi="Times New Roman" w:eastAsia="宋体"/>
          <w:b w:val="0"/>
          <w:i w:val="0"/>
          <w:color w:val="FF0000"/>
          <w:sz w:val="24"/>
          <w:szCs w:val="24"/>
          <w:lang w:eastAsia="zh-Hans"/>
        </w:rPr>
      </w:pPr>
      <w:r>
        <w:rPr>
          <w:rFonts w:hint="default" w:ascii="宋体" w:hAnsi="Times New Roman" w:eastAsia="宋体"/>
          <w:b w:val="0"/>
          <w:i w:val="0"/>
          <w:color w:val="FF0000"/>
          <w:sz w:val="24"/>
          <w:szCs w:val="24"/>
          <w:lang w:eastAsia="zh-Hans"/>
        </w:rPr>
        <w:t xml:space="preserve">        </w:t>
      </w:r>
    </w:p>
    <w:p>
      <w:pPr>
        <w:numPr>
          <w:ilvl w:val="0"/>
          <w:numId w:val="3"/>
        </w:numPr>
        <w:adjustRightInd w:val="0"/>
        <w:spacing w:line="312" w:lineRule="auto"/>
        <w:ind w:left="425" w:leftChars="0" w:hanging="425" w:firstLineChars="0"/>
        <w:jc w:val="left"/>
        <w:rPr>
          <w:rFonts w:hint="default" w:ascii="宋体" w:hAnsi="宋体"/>
          <w:color w:val="000000"/>
          <w:sz w:val="24"/>
          <w:szCs w:val="24"/>
          <w:lang w:val="en-US" w:eastAsia="zh-Hans"/>
        </w:rPr>
      </w:pPr>
      <w:r>
        <w:rPr>
          <w:rFonts w:hint="eastAsia" w:ascii="宋体" w:hAnsi="宋体"/>
          <w:color w:val="000000"/>
          <w:sz w:val="24"/>
          <w:szCs w:val="24"/>
          <w:lang w:val="en-US" w:eastAsia="zh-Hans"/>
        </w:rPr>
        <w:t>第四步：专家在个人信息维护页面可看到信息审核的实时状态。</w:t>
      </w:r>
    </w:p>
    <w:p>
      <w:r>
        <w:drawing>
          <wp:inline distT="0" distB="0" distL="114300" distR="114300">
            <wp:extent cx="5273040" cy="1616075"/>
            <wp:effectExtent l="0" t="0" r="10160" b="9525"/>
            <wp:docPr id="3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61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ind w:left="425" w:leftChars="0" w:hanging="425" w:firstLineChars="0"/>
        <w:rPr>
          <w:rFonts w:hint="default"/>
        </w:rPr>
      </w:pPr>
      <w:r>
        <w:rPr>
          <w:rFonts w:hint="eastAsia" w:ascii="宋体" w:hAnsi="宋体"/>
          <w:color w:val="000000"/>
          <w:sz w:val="24"/>
          <w:szCs w:val="24"/>
          <w:lang w:val="en-US" w:eastAsia="zh-Hans"/>
        </w:rPr>
        <w:t>第五步：点击“查看审核意见”按钮。可以查看到审核人员的具体审核意见。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9865" cy="1830070"/>
            <wp:effectExtent l="0" t="0" r="13335" b="24130"/>
            <wp:docPr id="3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83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3"/>
        <w:numPr>
          <w:ilvl w:val="0"/>
          <w:numId w:val="2"/>
        </w:numPr>
        <w:bidi w:val="0"/>
        <w:rPr>
          <w:rFonts w:hint="eastAsia" w:asciiTheme="majorEastAsia" w:hAnsiTheme="majorEastAsia" w:eastAsiaTheme="majorEastAsia" w:cstheme="majorEastAsia"/>
          <w:lang w:val="en-US" w:eastAsia="zh-Hans"/>
        </w:rPr>
      </w:pPr>
      <w:r>
        <w:rPr>
          <w:rFonts w:hint="eastAsia" w:asciiTheme="majorEastAsia" w:hAnsiTheme="majorEastAsia" w:eastAsiaTheme="majorEastAsia" w:cstheme="majorEastAsia"/>
          <w:lang w:val="en-US" w:eastAsia="zh-Hans"/>
        </w:rPr>
        <w:t>在线咨询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/>
          <w:sz w:val="24"/>
          <w:szCs w:val="24"/>
          <w:lang w:val="en-US" w:eastAsia="zh-Hans"/>
        </w:rPr>
      </w:pPr>
      <w:r>
        <w:rPr>
          <w:rFonts w:hint="eastAsia"/>
          <w:sz w:val="24"/>
          <w:szCs w:val="24"/>
          <w:lang w:val="en-US" w:eastAsia="zh-Hans"/>
        </w:rPr>
        <w:t>点击系统右上方的“</w:t>
      </w:r>
      <w:r>
        <w:rPr>
          <w:rFonts w:hint="eastAsia"/>
          <w:sz w:val="24"/>
          <w:szCs w:val="24"/>
          <w:lang w:val="en-US" w:eastAsia="zh-Hans"/>
        </w:rPr>
        <w:t>在线咨询</w:t>
      </w:r>
      <w:r>
        <w:rPr>
          <w:rFonts w:hint="eastAsia"/>
          <w:sz w:val="24"/>
          <w:szCs w:val="24"/>
          <w:lang w:val="en-US" w:eastAsia="zh-Hans"/>
        </w:rPr>
        <w:t>”按钮，可与人工客服在线咨询系统使用的相关问题。</w:t>
      </w:r>
    </w:p>
    <w:p>
      <w:r>
        <w:drawing>
          <wp:inline distT="0" distB="0" distL="114300" distR="114300">
            <wp:extent cx="5268595" cy="2863850"/>
            <wp:effectExtent l="0" t="0" r="14605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6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Hans"/>
        </w:rPr>
      </w:pPr>
      <w:r>
        <w:drawing>
          <wp:inline distT="0" distB="0" distL="114300" distR="114300">
            <wp:extent cx="5262880" cy="2357120"/>
            <wp:effectExtent l="0" t="0" r="20320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35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4470400"/>
            <wp:effectExtent l="0" t="0" r="1079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4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br w:type="page"/>
      </w:r>
    </w:p>
    <w:p>
      <w:pPr>
        <w:pStyle w:val="3"/>
        <w:numPr>
          <w:ilvl w:val="0"/>
          <w:numId w:val="2"/>
        </w:numPr>
        <w:bidi w:val="0"/>
        <w:rPr>
          <w:rFonts w:hint="eastAsia" w:asciiTheme="majorEastAsia" w:hAnsiTheme="majorEastAsia" w:eastAsiaTheme="majorEastAsia" w:cstheme="majorEastAsia"/>
          <w:lang w:val="en-US" w:eastAsia="zh-Hans"/>
        </w:rPr>
      </w:pPr>
      <w:r>
        <w:rPr>
          <w:rFonts w:hint="eastAsia" w:asciiTheme="majorEastAsia" w:hAnsiTheme="majorEastAsia" w:eastAsiaTheme="majorEastAsia" w:cstheme="majorEastAsia"/>
          <w:lang w:val="en-US" w:eastAsia="zh-Hans"/>
        </w:rPr>
        <w:t>帮助中心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/>
          <w:sz w:val="24"/>
          <w:szCs w:val="24"/>
          <w:lang w:val="en-US" w:eastAsia="zh-Hans"/>
        </w:rPr>
      </w:pPr>
      <w:r>
        <w:rPr>
          <w:rFonts w:hint="eastAsia"/>
          <w:sz w:val="24"/>
          <w:szCs w:val="24"/>
          <w:lang w:val="en-US" w:eastAsia="zh-Hans"/>
        </w:rPr>
        <w:t>点击系统右上方的“帮助中心”按钮，可查看评审专家个人信息维护的使用手册和操作视频。</w:t>
      </w:r>
    </w:p>
    <w:p>
      <w:pPr>
        <w:rPr>
          <w:rFonts w:hint="eastAsia"/>
          <w:lang w:val="en-US" w:eastAsia="zh-Hans"/>
        </w:rPr>
      </w:pPr>
    </w:p>
    <w:p>
      <w:r>
        <w:drawing>
          <wp:inline distT="0" distB="0" distL="114300" distR="114300">
            <wp:extent cx="5269865" cy="2936875"/>
            <wp:effectExtent l="0" t="0" r="13335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93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Hans"/>
        </w:rPr>
      </w:pPr>
      <w:r>
        <w:drawing>
          <wp:inline distT="0" distB="0" distL="114300" distR="114300">
            <wp:extent cx="5273040" cy="1851660"/>
            <wp:effectExtent l="0" t="0" r="10160" b="254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85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sz w:val="24"/>
          <w:szCs w:val="24"/>
          <w:lang w:val="en-US" w:eastAsia="zh-Hans"/>
        </w:rPr>
      </w:pPr>
    </w:p>
    <w:p>
      <w:pPr>
        <w:rPr>
          <w:rFonts w:hint="default"/>
          <w:sz w:val="24"/>
          <w:szCs w:val="24"/>
          <w:lang w:val="en-US" w:eastAsia="zh-Hans"/>
        </w:rPr>
      </w:pPr>
      <w:r>
        <w:drawing>
          <wp:inline distT="0" distB="0" distL="114300" distR="114300">
            <wp:extent cx="5269230" cy="1404620"/>
            <wp:effectExtent l="0" t="0" r="13970" b="1778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40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sz w:val="24"/>
          <w:szCs w:val="24"/>
          <w:lang w:val="en-US" w:eastAsia="zh-Hans"/>
        </w:rPr>
      </w:pPr>
    </w:p>
    <w:p>
      <w:pPr>
        <w:rPr>
          <w:rFonts w:hint="default"/>
          <w:sz w:val="24"/>
          <w:szCs w:val="24"/>
          <w:lang w:val="en-US" w:eastAsia="zh-Hans"/>
        </w:rPr>
      </w:pPr>
    </w:p>
    <w:p>
      <w:pPr>
        <w:rPr>
          <w:rFonts w:hint="default"/>
          <w:sz w:val="24"/>
          <w:szCs w:val="24"/>
          <w:lang w:val="en-US" w:eastAsia="zh-Hans"/>
        </w:rPr>
      </w:pPr>
    </w:p>
    <w:p>
      <w:pPr>
        <w:rPr>
          <w:rFonts w:hint="default"/>
          <w:sz w:val="24"/>
          <w:szCs w:val="24"/>
          <w:lang w:val="en-US" w:eastAsia="zh-Hans"/>
        </w:rPr>
      </w:pPr>
    </w:p>
    <w:p/>
    <w:p>
      <w:pPr>
        <w:pStyle w:val="3"/>
        <w:numPr>
          <w:ilvl w:val="0"/>
          <w:numId w:val="2"/>
        </w:numPr>
        <w:bidi w:val="0"/>
        <w:rPr>
          <w:rFonts w:hint="eastAsia" w:asciiTheme="majorEastAsia" w:hAnsiTheme="majorEastAsia" w:eastAsiaTheme="majorEastAsia" w:cstheme="majorEastAsia"/>
          <w:lang w:val="en-US" w:eastAsia="zh-Hans"/>
        </w:rPr>
      </w:pPr>
      <w:r>
        <w:rPr>
          <w:rFonts w:hint="eastAsia" w:asciiTheme="majorEastAsia" w:hAnsiTheme="majorEastAsia" w:eastAsiaTheme="majorEastAsia" w:cstheme="majorEastAsia"/>
          <w:lang w:val="en-US" w:eastAsia="zh-Hans"/>
        </w:rPr>
        <w:t>待办事项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/>
          <w:sz w:val="24"/>
          <w:szCs w:val="24"/>
          <w:lang w:val="en-US" w:eastAsia="zh-Hans"/>
        </w:rPr>
      </w:pPr>
      <w:bookmarkStart w:id="0" w:name="_GoBack"/>
      <w:bookmarkEnd w:id="0"/>
      <w:r>
        <w:rPr>
          <w:rFonts w:hint="eastAsia"/>
          <w:sz w:val="24"/>
          <w:szCs w:val="24"/>
          <w:lang w:val="en-US" w:eastAsia="zh-Hans"/>
        </w:rPr>
        <w:t>专家登录系统后，点击系统右上方的“待办事项”按钮，可查看专家当前需要在系统中处理的相关事宜。</w:t>
      </w:r>
    </w:p>
    <w:p>
      <w:r>
        <w:drawing>
          <wp:inline distT="0" distB="0" distL="114300" distR="114300">
            <wp:extent cx="5271135" cy="1837690"/>
            <wp:effectExtent l="0" t="0" r="12065" b="1651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83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3"/>
        <w:numPr>
          <w:ilvl w:val="0"/>
          <w:numId w:val="2"/>
        </w:numPr>
        <w:bidi w:val="0"/>
        <w:rPr>
          <w:rFonts w:hint="eastAsia" w:asciiTheme="majorEastAsia" w:hAnsiTheme="majorEastAsia" w:eastAsiaTheme="majorEastAsia" w:cstheme="majorEastAsia"/>
          <w:lang w:val="en-US" w:eastAsia="zh-Hans"/>
        </w:rPr>
      </w:pPr>
      <w:r>
        <w:rPr>
          <w:rFonts w:hint="eastAsia" w:asciiTheme="majorEastAsia" w:hAnsiTheme="majorEastAsia" w:eastAsiaTheme="majorEastAsia" w:cstheme="majorEastAsia"/>
          <w:lang w:val="en-US" w:eastAsia="zh-Hans"/>
        </w:rPr>
        <w:t>忘记密码重置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/>
          <w:lang w:val="en-US" w:eastAsia="zh-Hans"/>
        </w:rPr>
      </w:pPr>
      <w:r>
        <w:rPr>
          <w:rFonts w:hint="eastAsia"/>
          <w:sz w:val="24"/>
          <w:szCs w:val="24"/>
          <w:lang w:val="en-US" w:eastAsia="zh-Hans"/>
        </w:rPr>
        <w:t>若评审专家忘记登录密码，可点击系统首页的“忘记密码”按钮，按照系统指引步骤操作找回密码。</w:t>
      </w:r>
    </w:p>
    <w:p>
      <w:r>
        <w:drawing>
          <wp:inline distT="0" distB="0" distL="114300" distR="114300">
            <wp:extent cx="5271135" cy="2897505"/>
            <wp:effectExtent l="0" t="0" r="12065" b="2349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89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</w:rPr>
      </w:pPr>
      <w:r>
        <w:drawing>
          <wp:inline distT="0" distB="0" distL="114300" distR="114300">
            <wp:extent cx="5271770" cy="4052570"/>
            <wp:effectExtent l="0" t="0" r="11430" b="1143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楷体_GB2312">
    <w:altName w:val="汉仪楷体简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汉仪楷体简">
    <w:panose1 w:val="02010600000101010101"/>
    <w:charset w:val="86"/>
    <w:family w:val="auto"/>
    <w:pitch w:val="default"/>
    <w:sig w:usb0="00000000" w:usb1="00000000" w:usb2="00000000" w:usb3="00000000" w:csb0="00060000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Tahom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AE087F"/>
    <w:multiLevelType w:val="singleLevel"/>
    <w:tmpl w:val="DFAE087F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EDE46A12"/>
    <w:multiLevelType w:val="singleLevel"/>
    <w:tmpl w:val="EDE46A1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B7E5D04"/>
    <w:multiLevelType w:val="singleLevel"/>
    <w:tmpl w:val="FB7E5D0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7F68EE"/>
    <w:rsid w:val="16DFA475"/>
    <w:rsid w:val="1B8F8941"/>
    <w:rsid w:val="1BFF4862"/>
    <w:rsid w:val="1EBB6484"/>
    <w:rsid w:val="1EE71AFA"/>
    <w:rsid w:val="279FFD9C"/>
    <w:rsid w:val="2D4BDD71"/>
    <w:rsid w:val="2E9E2305"/>
    <w:rsid w:val="2FFD79B4"/>
    <w:rsid w:val="2FFF213C"/>
    <w:rsid w:val="33FE8B73"/>
    <w:rsid w:val="3543940A"/>
    <w:rsid w:val="37EF1F9F"/>
    <w:rsid w:val="39DF716E"/>
    <w:rsid w:val="3A17361B"/>
    <w:rsid w:val="3A7FAE1A"/>
    <w:rsid w:val="3B573659"/>
    <w:rsid w:val="3B7F53A0"/>
    <w:rsid w:val="3BA9EF3B"/>
    <w:rsid w:val="3D1DC003"/>
    <w:rsid w:val="3EFB4950"/>
    <w:rsid w:val="3F7F68EE"/>
    <w:rsid w:val="3FBE3032"/>
    <w:rsid w:val="3FDF6B7A"/>
    <w:rsid w:val="3FFE2099"/>
    <w:rsid w:val="477FCB70"/>
    <w:rsid w:val="47BFC81A"/>
    <w:rsid w:val="47D75239"/>
    <w:rsid w:val="4DFD6EB0"/>
    <w:rsid w:val="4F79CDFF"/>
    <w:rsid w:val="4F7EEDDD"/>
    <w:rsid w:val="53C4B377"/>
    <w:rsid w:val="57D7F0E5"/>
    <w:rsid w:val="57DA2AAF"/>
    <w:rsid w:val="57DD5A44"/>
    <w:rsid w:val="5B6DEEAE"/>
    <w:rsid w:val="5CBF0568"/>
    <w:rsid w:val="5DADCE3A"/>
    <w:rsid w:val="5DDFEDA2"/>
    <w:rsid w:val="637D6980"/>
    <w:rsid w:val="6AD7CB9B"/>
    <w:rsid w:val="6B79E9A0"/>
    <w:rsid w:val="6B9EEA82"/>
    <w:rsid w:val="6BDCA775"/>
    <w:rsid w:val="6BFF2E98"/>
    <w:rsid w:val="6BFF99E7"/>
    <w:rsid w:val="6FDF7FD4"/>
    <w:rsid w:val="714F8DAC"/>
    <w:rsid w:val="727DBDBF"/>
    <w:rsid w:val="74FFE0A1"/>
    <w:rsid w:val="75BF77F4"/>
    <w:rsid w:val="75FF353A"/>
    <w:rsid w:val="767F8193"/>
    <w:rsid w:val="7737C937"/>
    <w:rsid w:val="77B5C5BD"/>
    <w:rsid w:val="77C78548"/>
    <w:rsid w:val="77EB74F3"/>
    <w:rsid w:val="797C3DA0"/>
    <w:rsid w:val="79DB9DED"/>
    <w:rsid w:val="79F78F1F"/>
    <w:rsid w:val="7B77FC83"/>
    <w:rsid w:val="7BFF0425"/>
    <w:rsid w:val="7CE79483"/>
    <w:rsid w:val="7CFEB092"/>
    <w:rsid w:val="7DE550CF"/>
    <w:rsid w:val="7DE9890C"/>
    <w:rsid w:val="7E7B021B"/>
    <w:rsid w:val="7ECB6713"/>
    <w:rsid w:val="7EF27A3E"/>
    <w:rsid w:val="7F3EAD81"/>
    <w:rsid w:val="7F53D949"/>
    <w:rsid w:val="7FB59EDB"/>
    <w:rsid w:val="7FDE86CE"/>
    <w:rsid w:val="7FEFBF45"/>
    <w:rsid w:val="7FFE0A50"/>
    <w:rsid w:val="93FE4EAA"/>
    <w:rsid w:val="99F72064"/>
    <w:rsid w:val="9CBB6DD4"/>
    <w:rsid w:val="9CFFEDBB"/>
    <w:rsid w:val="9EE7DFF6"/>
    <w:rsid w:val="A3FD5931"/>
    <w:rsid w:val="A6DBC217"/>
    <w:rsid w:val="B7FBD4F7"/>
    <w:rsid w:val="BCFE6A73"/>
    <w:rsid w:val="BD3740AF"/>
    <w:rsid w:val="BE1F3AA6"/>
    <w:rsid w:val="BE7A34D5"/>
    <w:rsid w:val="BEFFB525"/>
    <w:rsid w:val="BF77F79E"/>
    <w:rsid w:val="BFBF960E"/>
    <w:rsid w:val="BFDF1C67"/>
    <w:rsid w:val="C58D55DB"/>
    <w:rsid w:val="CB3B9873"/>
    <w:rsid w:val="CBAFFF6B"/>
    <w:rsid w:val="CD4E3034"/>
    <w:rsid w:val="D97D2D6B"/>
    <w:rsid w:val="D98EE37B"/>
    <w:rsid w:val="DDF7932D"/>
    <w:rsid w:val="DDF7C4F1"/>
    <w:rsid w:val="DE7DCD93"/>
    <w:rsid w:val="DEBF4215"/>
    <w:rsid w:val="DF7FFB9B"/>
    <w:rsid w:val="DFB6866B"/>
    <w:rsid w:val="E2DF63A1"/>
    <w:rsid w:val="E7309E32"/>
    <w:rsid w:val="EAB9DF30"/>
    <w:rsid w:val="EABEC7F6"/>
    <w:rsid w:val="ED9DC3EF"/>
    <w:rsid w:val="EEFDBDB9"/>
    <w:rsid w:val="EF9F7206"/>
    <w:rsid w:val="F31F5C65"/>
    <w:rsid w:val="F3B655FE"/>
    <w:rsid w:val="F3FA5240"/>
    <w:rsid w:val="F5AF1E79"/>
    <w:rsid w:val="F5E95DB8"/>
    <w:rsid w:val="F6BAB4DE"/>
    <w:rsid w:val="F7CE9D82"/>
    <w:rsid w:val="F7D3E3F9"/>
    <w:rsid w:val="F7DFA272"/>
    <w:rsid w:val="F7F77EF8"/>
    <w:rsid w:val="F7FD87B1"/>
    <w:rsid w:val="F7FF90A2"/>
    <w:rsid w:val="F9BF2FC3"/>
    <w:rsid w:val="FB4A36D0"/>
    <w:rsid w:val="FBDE87C2"/>
    <w:rsid w:val="FBE07D94"/>
    <w:rsid w:val="FCFD8808"/>
    <w:rsid w:val="FDCFEC32"/>
    <w:rsid w:val="FE8F3929"/>
    <w:rsid w:val="FED6EA37"/>
    <w:rsid w:val="FEDF77FA"/>
    <w:rsid w:val="FEF37730"/>
    <w:rsid w:val="FF632A57"/>
    <w:rsid w:val="FF96FBB6"/>
    <w:rsid w:val="FF9BF74D"/>
    <w:rsid w:val="FF9F5653"/>
    <w:rsid w:val="FF9F8FC1"/>
    <w:rsid w:val="FFB64E21"/>
    <w:rsid w:val="FFCB8554"/>
    <w:rsid w:val="FFE11A8B"/>
    <w:rsid w:val="FFEFC242"/>
    <w:rsid w:val="FFF55916"/>
    <w:rsid w:val="FFF7FDBA"/>
    <w:rsid w:val="FFFA1F06"/>
    <w:rsid w:val="FFFEE298"/>
    <w:rsid w:val="FFFFD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FollowedHyperlink"/>
    <w:basedOn w:val="7"/>
    <w:uiPriority w:val="0"/>
    <w:rPr>
      <w:color w:val="800080"/>
      <w:u w:val="single"/>
    </w:rPr>
  </w:style>
  <w:style w:type="character" w:styleId="9">
    <w:name w:val="Hyperlink"/>
    <w:basedOn w:val="7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Office_5.4.1.7920_F1E327BC-269C-435d-A152-05C5408002CA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2024-02-29T03:09:00Z</dcterms:created>
  <dc:creator>黄诗瑶</dc:creator>
  <cp:lastModifiedBy>黄诗瑶</cp:lastModifiedBy>
  <dcterms:modified xsi:type="dcterms:W3CDTF">2024-03-22T16:24:20Z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2052-5.4.1.7920</vt:lpwstr>
  </property>
  <property fmtid="{D5CDD505-2E9C-101B-9397-08002B2CF9AE}" pid="3" name="ICV">
    <vt:lpwstr>066066ADE02F6A36FF00DC65958647AC_41</vt:lpwstr>
  </property>
</Properties>
</file>