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79D526">
      <w:pPr>
        <w:pStyle w:val="3"/>
        <w:spacing w:line="245" w:lineRule="auto"/>
      </w:pPr>
    </w:p>
    <w:p w14:paraId="6B773F25">
      <w:pPr>
        <w:pStyle w:val="3"/>
        <w:spacing w:line="245" w:lineRule="auto"/>
      </w:pPr>
    </w:p>
    <w:p w14:paraId="453E2E9C">
      <w:pPr>
        <w:pStyle w:val="3"/>
        <w:spacing w:line="246" w:lineRule="auto"/>
      </w:pPr>
    </w:p>
    <w:p w14:paraId="0C48D292">
      <w:pPr>
        <w:spacing w:before="101" w:line="233" w:lineRule="auto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-6"/>
          <w:sz w:val="31"/>
          <w:szCs w:val="31"/>
        </w:rPr>
        <w:t>附件</w:t>
      </w:r>
      <w:r>
        <w:rPr>
          <w:rFonts w:ascii="楷体" w:hAnsi="楷体" w:eastAsia="楷体" w:cs="楷体"/>
          <w:spacing w:val="-45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6"/>
          <w:sz w:val="31"/>
          <w:szCs w:val="31"/>
        </w:rPr>
        <w:t>1</w:t>
      </w:r>
    </w:p>
    <w:p w14:paraId="153FA53C">
      <w:pPr>
        <w:pStyle w:val="3"/>
        <w:spacing w:line="401" w:lineRule="auto"/>
      </w:pPr>
    </w:p>
    <w:p w14:paraId="1F070F24">
      <w:pPr>
        <w:widowControl w:val="0"/>
        <w:kinsoku/>
        <w:autoSpaceDE/>
        <w:autoSpaceDN/>
        <w:adjustRightInd/>
        <w:snapToGrid/>
        <w:spacing w:line="700" w:lineRule="exact"/>
        <w:jc w:val="center"/>
        <w:textAlignment w:val="auto"/>
        <w:rPr>
          <w:rFonts w:ascii="方正小标宋简体" w:hAnsi="Calibri" w:eastAsia="方正小标宋简体" w:cs="Times New Roman"/>
          <w:snapToGrid/>
          <w:kern w:val="2"/>
          <w:sz w:val="44"/>
          <w:szCs w:val="44"/>
          <w:lang w:eastAsia="zh-CN"/>
        </w:rPr>
      </w:pPr>
      <w:r>
        <w:rPr>
          <w:rFonts w:hint="eastAsia" w:ascii="方正小标宋简体" w:hAnsi="Calibri" w:eastAsia="方正小标宋简体" w:cs="Times New Roman"/>
          <w:snapToGrid/>
          <w:kern w:val="2"/>
          <w:sz w:val="44"/>
          <w:szCs w:val="44"/>
          <w:lang w:eastAsia="zh-CN"/>
        </w:rPr>
        <w:t>江西省高等教育学会</w:t>
      </w:r>
    </w:p>
    <w:p w14:paraId="693FED7E">
      <w:pPr>
        <w:widowControl w:val="0"/>
        <w:kinsoku/>
        <w:autoSpaceDE/>
        <w:autoSpaceDN/>
        <w:adjustRightInd/>
        <w:snapToGrid/>
        <w:spacing w:line="700" w:lineRule="exact"/>
        <w:jc w:val="center"/>
        <w:textAlignment w:val="auto"/>
        <w:rPr>
          <w:rFonts w:ascii="方正小标宋简体" w:hAnsi="Calibri" w:eastAsia="方正小标宋简体" w:cs="Times New Roman"/>
          <w:snapToGrid/>
          <w:kern w:val="2"/>
          <w:sz w:val="44"/>
          <w:szCs w:val="44"/>
          <w:lang w:eastAsia="zh-CN"/>
        </w:rPr>
      </w:pPr>
      <w:r>
        <w:rPr>
          <w:rFonts w:hint="eastAsia" w:ascii="方正小标宋简体" w:hAnsi="Calibri" w:eastAsia="方正小标宋简体" w:cs="Times New Roman"/>
          <w:snapToGrid/>
          <w:kern w:val="2"/>
          <w:sz w:val="44"/>
          <w:szCs w:val="44"/>
          <w:lang w:eastAsia="zh-CN"/>
        </w:rPr>
        <w:t>202</w:t>
      </w:r>
      <w:r>
        <w:rPr>
          <w:rFonts w:hint="eastAsia" w:ascii="方正小标宋简体" w:hAnsi="Calibri" w:eastAsia="方正小标宋简体" w:cs="Times New Roman"/>
          <w:snapToGrid/>
          <w:kern w:val="2"/>
          <w:sz w:val="44"/>
          <w:szCs w:val="44"/>
          <w:lang w:val="en-US" w:eastAsia="zh-CN"/>
        </w:rPr>
        <w:t>4</w:t>
      </w:r>
      <w:r>
        <w:rPr>
          <w:rFonts w:hint="eastAsia" w:ascii="方正小标宋简体" w:hAnsi="Calibri" w:eastAsia="方正小标宋简体" w:cs="Times New Roman"/>
          <w:snapToGrid/>
          <w:kern w:val="2"/>
          <w:sz w:val="44"/>
          <w:szCs w:val="44"/>
          <w:lang w:eastAsia="zh-CN"/>
        </w:rPr>
        <w:t>年度学会课题</w:t>
      </w:r>
      <w:bookmarkStart w:id="0" w:name="_GoBack"/>
      <w:bookmarkEnd w:id="0"/>
    </w:p>
    <w:p w14:paraId="77A83D64">
      <w:pPr>
        <w:pStyle w:val="3"/>
        <w:spacing w:line="300" w:lineRule="auto"/>
      </w:pPr>
    </w:p>
    <w:p w14:paraId="298C70FA">
      <w:pPr>
        <w:widowControl w:val="0"/>
        <w:kinsoku/>
        <w:autoSpaceDE/>
        <w:autoSpaceDN/>
        <w:adjustRightInd/>
        <w:snapToGrid/>
        <w:spacing w:line="1000" w:lineRule="exact"/>
        <w:jc w:val="center"/>
        <w:textAlignment w:val="auto"/>
        <w:rPr>
          <w:rFonts w:ascii="方正小标宋简体" w:hAnsi="Calibri" w:eastAsia="方正小标宋简体" w:cs="Times New Roman"/>
          <w:snapToGrid/>
          <w:kern w:val="2"/>
          <w:sz w:val="52"/>
          <w:szCs w:val="52"/>
          <w:lang w:eastAsia="zh-CN"/>
        </w:rPr>
      </w:pPr>
      <w:r>
        <w:rPr>
          <w:rFonts w:hint="eastAsia" w:ascii="方正小标宋简体" w:hAnsi="Calibri" w:eastAsia="方正小标宋简体" w:cs="Times New Roman"/>
          <w:snapToGrid/>
          <w:kern w:val="2"/>
          <w:sz w:val="52"/>
          <w:szCs w:val="52"/>
          <w:lang w:eastAsia="zh-CN"/>
        </w:rPr>
        <w:t>课</w:t>
      </w:r>
    </w:p>
    <w:p w14:paraId="6255E39F">
      <w:pPr>
        <w:widowControl w:val="0"/>
        <w:kinsoku/>
        <w:autoSpaceDE/>
        <w:autoSpaceDN/>
        <w:adjustRightInd/>
        <w:snapToGrid/>
        <w:spacing w:line="1000" w:lineRule="exact"/>
        <w:jc w:val="center"/>
        <w:textAlignment w:val="auto"/>
        <w:rPr>
          <w:rFonts w:ascii="方正小标宋简体" w:hAnsi="Calibri" w:eastAsia="方正小标宋简体" w:cs="Times New Roman"/>
          <w:snapToGrid/>
          <w:kern w:val="2"/>
          <w:sz w:val="52"/>
          <w:szCs w:val="52"/>
          <w:lang w:eastAsia="zh-CN"/>
        </w:rPr>
      </w:pPr>
      <w:r>
        <w:rPr>
          <w:rFonts w:hint="eastAsia" w:ascii="方正小标宋简体" w:hAnsi="Calibri" w:eastAsia="方正小标宋简体" w:cs="Times New Roman"/>
          <w:snapToGrid/>
          <w:kern w:val="2"/>
          <w:sz w:val="52"/>
          <w:szCs w:val="52"/>
          <w:lang w:eastAsia="zh-CN"/>
        </w:rPr>
        <w:t>题</w:t>
      </w:r>
    </w:p>
    <w:p w14:paraId="5ED5649F">
      <w:pPr>
        <w:widowControl w:val="0"/>
        <w:kinsoku/>
        <w:autoSpaceDE/>
        <w:autoSpaceDN/>
        <w:adjustRightInd/>
        <w:snapToGrid/>
        <w:spacing w:line="1000" w:lineRule="exact"/>
        <w:jc w:val="center"/>
        <w:textAlignment w:val="auto"/>
        <w:rPr>
          <w:rFonts w:ascii="方正小标宋简体" w:hAnsi="Calibri" w:eastAsia="方正小标宋简体" w:cs="Times New Roman"/>
          <w:snapToGrid/>
          <w:kern w:val="2"/>
          <w:sz w:val="52"/>
          <w:szCs w:val="52"/>
          <w:lang w:eastAsia="zh-CN"/>
        </w:rPr>
      </w:pPr>
      <w:r>
        <w:rPr>
          <w:rFonts w:hint="eastAsia" w:ascii="方正小标宋简体" w:hAnsi="Calibri" w:eastAsia="方正小标宋简体" w:cs="Times New Roman"/>
          <w:snapToGrid/>
          <w:kern w:val="2"/>
          <w:sz w:val="52"/>
          <w:szCs w:val="52"/>
          <w:lang w:eastAsia="zh-CN"/>
        </w:rPr>
        <w:t>指</w:t>
      </w:r>
    </w:p>
    <w:p w14:paraId="65F0F5DE">
      <w:pPr>
        <w:widowControl w:val="0"/>
        <w:kinsoku/>
        <w:autoSpaceDE/>
        <w:autoSpaceDN/>
        <w:adjustRightInd/>
        <w:snapToGrid/>
        <w:spacing w:line="1000" w:lineRule="exact"/>
        <w:jc w:val="center"/>
        <w:textAlignment w:val="auto"/>
        <w:rPr>
          <w:rFonts w:ascii="方正小标宋简体" w:hAnsi="Calibri" w:eastAsia="方正小标宋简体" w:cs="Times New Roman"/>
          <w:snapToGrid/>
          <w:kern w:val="2"/>
          <w:sz w:val="52"/>
          <w:szCs w:val="52"/>
          <w:lang w:eastAsia="zh-CN"/>
        </w:rPr>
      </w:pPr>
      <w:r>
        <w:rPr>
          <w:rFonts w:hint="eastAsia" w:ascii="方正小标宋简体" w:hAnsi="Calibri" w:eastAsia="方正小标宋简体" w:cs="Times New Roman"/>
          <w:snapToGrid/>
          <w:kern w:val="2"/>
          <w:sz w:val="52"/>
          <w:szCs w:val="52"/>
          <w:lang w:eastAsia="zh-CN"/>
        </w:rPr>
        <w:t>南</w:t>
      </w:r>
    </w:p>
    <w:p w14:paraId="66AA3B5F">
      <w:pPr>
        <w:pStyle w:val="3"/>
        <w:spacing w:line="245" w:lineRule="auto"/>
      </w:pPr>
    </w:p>
    <w:p w14:paraId="4FE5E6F8">
      <w:pPr>
        <w:pStyle w:val="3"/>
        <w:spacing w:line="245" w:lineRule="auto"/>
      </w:pPr>
    </w:p>
    <w:p w14:paraId="468432B3">
      <w:pPr>
        <w:pStyle w:val="3"/>
        <w:spacing w:line="245" w:lineRule="auto"/>
      </w:pPr>
    </w:p>
    <w:p w14:paraId="796D6AB6">
      <w:pPr>
        <w:pStyle w:val="3"/>
        <w:spacing w:line="245" w:lineRule="auto"/>
      </w:pPr>
    </w:p>
    <w:p w14:paraId="4AC7823C">
      <w:pPr>
        <w:pStyle w:val="3"/>
        <w:spacing w:line="246" w:lineRule="auto"/>
      </w:pPr>
    </w:p>
    <w:p w14:paraId="23257D8D">
      <w:pPr>
        <w:pStyle w:val="3"/>
        <w:spacing w:line="246" w:lineRule="auto"/>
      </w:pPr>
    </w:p>
    <w:p w14:paraId="60FE2E6A">
      <w:pPr>
        <w:pStyle w:val="3"/>
        <w:spacing w:line="246" w:lineRule="auto"/>
      </w:pPr>
    </w:p>
    <w:p w14:paraId="07302A3E">
      <w:pPr>
        <w:spacing w:before="140" w:line="235" w:lineRule="auto"/>
        <w:ind w:left="3136" w:right="2130" w:hanging="689"/>
        <w:rPr>
          <w:rFonts w:hint="eastAsia" w:ascii="楷体" w:hAnsi="楷体" w:eastAsia="楷体" w:cs="楷体"/>
          <w:sz w:val="43"/>
          <w:szCs w:val="43"/>
          <w:lang w:eastAsia="zh-CN"/>
        </w:rPr>
        <w:sectPr>
          <w:footerReference r:id="rId5" w:type="default"/>
          <w:pgSz w:w="11906" w:h="16839"/>
          <w:pgMar w:top="1431" w:right="1785" w:bottom="1177" w:left="1621" w:header="0" w:footer="1012" w:gutter="0"/>
          <w:cols w:space="720" w:num="1"/>
        </w:sectPr>
      </w:pPr>
      <w:r>
        <w:rPr>
          <w:rFonts w:ascii="楷体" w:hAnsi="楷体" w:eastAsia="楷体" w:cs="楷体"/>
          <w:spacing w:val="5"/>
          <w:sz w:val="44"/>
          <w:szCs w:val="44"/>
        </w:rPr>
        <w:t>江西省高等教育会</w:t>
      </w:r>
      <w:r>
        <w:rPr>
          <w:rFonts w:ascii="楷体" w:hAnsi="楷体" w:eastAsia="楷体" w:cs="楷体"/>
          <w:spacing w:val="4"/>
          <w:sz w:val="44"/>
          <w:szCs w:val="44"/>
        </w:rPr>
        <w:t xml:space="preserve"> </w:t>
      </w:r>
      <w:r>
        <w:rPr>
          <w:rFonts w:ascii="楷体" w:hAnsi="楷体" w:eastAsia="楷体" w:cs="楷体"/>
          <w:spacing w:val="-5"/>
          <w:sz w:val="44"/>
          <w:szCs w:val="44"/>
        </w:rPr>
        <w:t>2024</w:t>
      </w:r>
      <w:r>
        <w:rPr>
          <w:rFonts w:ascii="楷体" w:hAnsi="楷体" w:eastAsia="楷体" w:cs="楷体"/>
          <w:spacing w:val="-81"/>
          <w:sz w:val="44"/>
          <w:szCs w:val="44"/>
        </w:rPr>
        <w:t xml:space="preserve"> </w:t>
      </w:r>
      <w:r>
        <w:rPr>
          <w:rFonts w:ascii="楷体" w:hAnsi="楷体" w:eastAsia="楷体" w:cs="楷体"/>
          <w:spacing w:val="-5"/>
          <w:sz w:val="44"/>
          <w:szCs w:val="44"/>
        </w:rPr>
        <w:t>年</w:t>
      </w:r>
      <w:r>
        <w:rPr>
          <w:rFonts w:ascii="楷体" w:hAnsi="楷体" w:eastAsia="楷体" w:cs="楷体"/>
          <w:spacing w:val="-65"/>
          <w:sz w:val="44"/>
          <w:szCs w:val="44"/>
        </w:rPr>
        <w:t xml:space="preserve"> </w:t>
      </w:r>
      <w:r>
        <w:rPr>
          <w:rFonts w:ascii="楷体" w:hAnsi="楷体" w:eastAsia="楷体" w:cs="楷体"/>
          <w:spacing w:val="-5"/>
          <w:sz w:val="44"/>
          <w:szCs w:val="44"/>
        </w:rPr>
        <w:t>10</w:t>
      </w:r>
      <w:r>
        <w:rPr>
          <w:rFonts w:ascii="楷体" w:hAnsi="楷体" w:eastAsia="楷体" w:cs="楷体"/>
          <w:spacing w:val="-68"/>
          <w:sz w:val="44"/>
          <w:szCs w:val="44"/>
        </w:rPr>
        <w:t xml:space="preserve"> </w:t>
      </w:r>
      <w:r>
        <w:rPr>
          <w:rFonts w:hint="eastAsia" w:ascii="楷体" w:hAnsi="楷体" w:eastAsia="楷体" w:cs="楷体"/>
          <w:spacing w:val="-68"/>
          <w:sz w:val="44"/>
          <w:szCs w:val="44"/>
          <w:lang w:eastAsia="zh-CN"/>
        </w:rPr>
        <w:t>月</w:t>
      </w:r>
    </w:p>
    <w:p w14:paraId="0A93363D">
      <w:pPr>
        <w:pStyle w:val="3"/>
        <w:spacing w:line="248" w:lineRule="auto"/>
      </w:pPr>
    </w:p>
    <w:p w14:paraId="391890A1">
      <w:pPr>
        <w:pStyle w:val="3"/>
        <w:spacing w:line="248" w:lineRule="auto"/>
      </w:pPr>
    </w:p>
    <w:p w14:paraId="7789F2D9">
      <w:pPr>
        <w:pStyle w:val="3"/>
        <w:spacing w:line="249" w:lineRule="auto"/>
      </w:pPr>
    </w:p>
    <w:p w14:paraId="7ACFAB5E">
      <w:pPr>
        <w:widowControl w:val="0"/>
        <w:kinsoku/>
        <w:autoSpaceDE/>
        <w:autoSpaceDN/>
        <w:adjustRightInd/>
        <w:snapToGrid/>
        <w:spacing w:line="700" w:lineRule="exact"/>
        <w:jc w:val="center"/>
        <w:textAlignment w:val="auto"/>
        <w:rPr>
          <w:rFonts w:ascii="方正小标宋简体" w:hAnsi="Calibri" w:eastAsia="方正小标宋简体" w:cs="Times New Roman"/>
          <w:snapToGrid/>
          <w:kern w:val="2"/>
          <w:sz w:val="44"/>
          <w:szCs w:val="44"/>
          <w:lang w:eastAsia="zh-CN"/>
        </w:rPr>
      </w:pPr>
      <w:r>
        <w:rPr>
          <w:rFonts w:hint="eastAsia" w:ascii="方正小标宋简体" w:hAnsi="Calibri" w:eastAsia="方正小标宋简体" w:cs="Times New Roman"/>
          <w:snapToGrid/>
          <w:kern w:val="2"/>
          <w:sz w:val="44"/>
          <w:szCs w:val="44"/>
          <w:lang w:eastAsia="zh-CN"/>
        </w:rPr>
        <w:t>目录</w:t>
      </w:r>
    </w:p>
    <w:p w14:paraId="14BB06BD">
      <w:pPr>
        <w:spacing w:line="425" w:lineRule="exact"/>
        <w:ind w:firstLine="3840"/>
      </w:pPr>
    </w:p>
    <w:p w14:paraId="3FF752EC">
      <w:pPr>
        <w:pStyle w:val="3"/>
        <w:spacing w:line="340" w:lineRule="auto"/>
      </w:pPr>
    </w:p>
    <w:p w14:paraId="063EDFB7">
      <w:pPr>
        <w:pStyle w:val="3"/>
        <w:spacing w:line="340" w:lineRule="auto"/>
      </w:pPr>
    </w:p>
    <w:p w14:paraId="3ECCAA71">
      <w:pPr>
        <w:widowControl w:val="0"/>
        <w:kinsoku/>
        <w:autoSpaceDE/>
        <w:autoSpaceDN/>
        <w:adjustRightInd/>
        <w:snapToGrid/>
        <w:spacing w:line="700" w:lineRule="exact"/>
        <w:ind w:firstLine="640" w:firstLineChars="200"/>
        <w:jc w:val="both"/>
        <w:textAlignment w:val="auto"/>
        <w:rPr>
          <w:rFonts w:hint="eastAsia" w:asciiTheme="minorEastAsia" w:hAnsiTheme="minorEastAsia" w:eastAsiaTheme="minorEastAsia" w:cstheme="minorBidi"/>
          <w:snapToGrid/>
          <w:kern w:val="2"/>
          <w:sz w:val="32"/>
          <w:szCs w:val="32"/>
          <w:lang w:eastAsia="zh-CN"/>
        </w:rPr>
      </w:pPr>
      <w:r>
        <w:rPr>
          <w:rFonts w:hint="eastAsia" w:asciiTheme="minorEastAsia" w:hAnsiTheme="minorEastAsia" w:eastAsiaTheme="minorEastAsia" w:cstheme="minorBidi"/>
          <w:snapToGrid/>
          <w:kern w:val="2"/>
          <w:sz w:val="32"/>
          <w:szCs w:val="32"/>
          <w:lang w:eastAsia="zh-CN"/>
        </w:rPr>
        <w:t>一、“教育强省 ”建设重大招标课题指南</w:t>
      </w:r>
    </w:p>
    <w:p w14:paraId="4A7E9E7C">
      <w:pPr>
        <w:widowControl w:val="0"/>
        <w:kinsoku/>
        <w:autoSpaceDE/>
        <w:autoSpaceDN/>
        <w:adjustRightInd/>
        <w:snapToGrid/>
        <w:spacing w:line="700" w:lineRule="exact"/>
        <w:ind w:firstLine="640" w:firstLineChars="200"/>
        <w:jc w:val="both"/>
        <w:textAlignment w:val="auto"/>
        <w:rPr>
          <w:rFonts w:hint="eastAsia" w:asciiTheme="minorEastAsia" w:hAnsiTheme="minorEastAsia" w:eastAsiaTheme="minorEastAsia" w:cstheme="minorBidi"/>
          <w:snapToGrid/>
          <w:kern w:val="2"/>
          <w:sz w:val="32"/>
          <w:szCs w:val="32"/>
          <w:lang w:eastAsia="zh-CN"/>
        </w:rPr>
      </w:pPr>
      <w:r>
        <w:rPr>
          <w:rFonts w:hint="eastAsia" w:asciiTheme="minorEastAsia" w:hAnsiTheme="minorEastAsia" w:eastAsiaTheme="minorEastAsia" w:cstheme="minorBidi"/>
          <w:snapToGrid/>
          <w:kern w:val="2"/>
          <w:sz w:val="32"/>
          <w:szCs w:val="32"/>
          <w:lang w:eastAsia="zh-CN"/>
        </w:rPr>
        <w:t>二、综合政策研究课题指南</w:t>
      </w:r>
    </w:p>
    <w:p w14:paraId="185FDE20">
      <w:pPr>
        <w:widowControl w:val="0"/>
        <w:kinsoku/>
        <w:autoSpaceDE/>
        <w:autoSpaceDN/>
        <w:adjustRightInd/>
        <w:snapToGrid/>
        <w:spacing w:line="700" w:lineRule="exact"/>
        <w:ind w:firstLine="640" w:firstLineChars="200"/>
        <w:jc w:val="both"/>
        <w:textAlignment w:val="auto"/>
        <w:rPr>
          <w:rFonts w:hint="eastAsia" w:asciiTheme="minorEastAsia" w:hAnsiTheme="minorEastAsia" w:eastAsiaTheme="minorEastAsia" w:cstheme="minorBidi"/>
          <w:snapToGrid/>
          <w:kern w:val="2"/>
          <w:sz w:val="32"/>
          <w:szCs w:val="32"/>
          <w:lang w:eastAsia="zh-CN"/>
        </w:rPr>
      </w:pPr>
      <w:r>
        <w:rPr>
          <w:rFonts w:hint="eastAsia" w:asciiTheme="minorEastAsia" w:hAnsiTheme="minorEastAsia" w:eastAsiaTheme="minorEastAsia" w:cstheme="minorBidi"/>
          <w:snapToGrid/>
          <w:kern w:val="2"/>
          <w:sz w:val="32"/>
          <w:szCs w:val="32"/>
          <w:lang w:eastAsia="zh-CN"/>
        </w:rPr>
        <w:t>三、各类专项课题指南</w:t>
      </w:r>
    </w:p>
    <w:p w14:paraId="0C7A1F25">
      <w:pPr>
        <w:spacing w:line="225" w:lineRule="auto"/>
        <w:rPr>
          <w:rFonts w:ascii="宋体" w:hAnsi="宋体" w:eastAsia="宋体" w:cs="宋体"/>
          <w:sz w:val="31"/>
          <w:szCs w:val="31"/>
        </w:rPr>
        <w:sectPr>
          <w:footerReference r:id="rId6" w:type="default"/>
          <w:pgSz w:w="11906" w:h="16839"/>
          <w:pgMar w:top="1431" w:right="1785" w:bottom="1175" w:left="1785" w:header="0" w:footer="1012" w:gutter="0"/>
          <w:cols w:space="720" w:num="1"/>
        </w:sectPr>
      </w:pPr>
    </w:p>
    <w:p w14:paraId="3181DD0A">
      <w:pPr>
        <w:pStyle w:val="3"/>
        <w:spacing w:line="309" w:lineRule="auto"/>
      </w:pPr>
    </w:p>
    <w:p w14:paraId="7352EFE2">
      <w:pPr>
        <w:pStyle w:val="3"/>
        <w:spacing w:line="310" w:lineRule="auto"/>
      </w:pPr>
    </w:p>
    <w:p w14:paraId="4A68B386">
      <w:pPr>
        <w:widowControl w:val="0"/>
        <w:kinsoku/>
        <w:autoSpaceDE/>
        <w:autoSpaceDN/>
        <w:adjustRightInd/>
        <w:snapToGrid/>
        <w:spacing w:line="700" w:lineRule="exact"/>
        <w:ind w:left="720" w:hanging="720" w:hangingChars="200"/>
        <w:jc w:val="center"/>
        <w:textAlignment w:val="auto"/>
        <w:rPr>
          <w:rFonts w:hint="eastAsia" w:ascii="方正小标宋简体" w:hAnsi="宋体" w:eastAsia="方正小标宋简体" w:cstheme="minorBidi"/>
          <w:snapToGrid/>
          <w:kern w:val="2"/>
          <w:sz w:val="36"/>
          <w:szCs w:val="36"/>
          <w:lang w:eastAsia="zh-CN"/>
        </w:rPr>
      </w:pPr>
      <w:r>
        <w:rPr>
          <w:rFonts w:hint="eastAsia" w:ascii="方正小标宋简体" w:hAnsi="宋体" w:eastAsia="方正小标宋简体" w:cstheme="minorBidi"/>
          <w:snapToGrid/>
          <w:kern w:val="2"/>
          <w:sz w:val="36"/>
          <w:szCs w:val="36"/>
          <w:lang w:eastAsia="zh-CN"/>
        </w:rPr>
        <w:t>一、"教育强省" 建设重大招标课题指南</w:t>
      </w:r>
    </w:p>
    <w:p w14:paraId="01686B20">
      <w:pPr>
        <w:spacing w:before="190" w:line="230" w:lineRule="auto"/>
        <w:ind w:left="1718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7"/>
          <w:sz w:val="31"/>
          <w:szCs w:val="31"/>
        </w:rPr>
        <w:t>（超星集团、南昌理工学院支持设立）</w:t>
      </w:r>
    </w:p>
    <w:p w14:paraId="59EE0625">
      <w:pPr>
        <w:pStyle w:val="3"/>
        <w:spacing w:line="314" w:lineRule="auto"/>
      </w:pPr>
    </w:p>
    <w:p w14:paraId="36A9D01B">
      <w:pPr>
        <w:pStyle w:val="3"/>
        <w:spacing w:line="314" w:lineRule="auto"/>
      </w:pPr>
    </w:p>
    <w:p w14:paraId="42D30BDA">
      <w:pPr>
        <w:spacing w:before="101" w:line="317" w:lineRule="auto"/>
        <w:ind w:left="1" w:right="2" w:firstLine="61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4"/>
          <w:sz w:val="31"/>
          <w:szCs w:val="31"/>
        </w:rPr>
        <w:t>“教育强省</w:t>
      </w:r>
      <w:r>
        <w:rPr>
          <w:rFonts w:ascii="仿宋" w:hAnsi="仿宋" w:eastAsia="仿宋" w:cs="仿宋"/>
          <w:spacing w:val="-110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4"/>
          <w:sz w:val="31"/>
          <w:szCs w:val="31"/>
        </w:rPr>
        <w:t>”建设重大招标课题应按以下题目进行申报，不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"/>
          <w:sz w:val="31"/>
          <w:szCs w:val="31"/>
        </w:rPr>
        <w:t>得更换课题名称。</w:t>
      </w:r>
      <w:r>
        <w:rPr>
          <w:rFonts w:ascii="仿宋" w:hAnsi="仿宋" w:eastAsia="仿宋" w:cs="仿宋"/>
          <w:spacing w:val="-5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"/>
          <w:sz w:val="31"/>
          <w:szCs w:val="31"/>
        </w:rPr>
        <w:t>自拟选题不予受理。</w:t>
      </w:r>
    </w:p>
    <w:p w14:paraId="2A30C39C">
      <w:pPr>
        <w:spacing w:before="54" w:line="228" w:lineRule="auto"/>
        <w:ind w:left="654"/>
        <w:outlineLvl w:val="1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b/>
          <w:bCs/>
          <w:spacing w:val="6"/>
          <w:sz w:val="31"/>
          <w:szCs w:val="31"/>
        </w:rPr>
        <w:t>1.江西高等教育层次、区域和科类结构调整优化</w:t>
      </w:r>
      <w:r>
        <w:rPr>
          <w:rFonts w:ascii="仿宋" w:hAnsi="仿宋" w:eastAsia="仿宋" w:cs="仿宋"/>
          <w:b/>
          <w:bCs/>
          <w:spacing w:val="5"/>
          <w:sz w:val="31"/>
          <w:szCs w:val="31"/>
        </w:rPr>
        <w:t>研究</w:t>
      </w:r>
    </w:p>
    <w:p w14:paraId="43F4A3EF">
      <w:pPr>
        <w:spacing w:before="177" w:line="326" w:lineRule="auto"/>
        <w:ind w:right="2" w:firstLine="640"/>
        <w:jc w:val="both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b/>
          <w:bCs/>
          <w:spacing w:val="13"/>
          <w:sz w:val="31"/>
          <w:szCs w:val="31"/>
        </w:rPr>
        <w:t>指南意图：</w:t>
      </w:r>
      <w:r>
        <w:rPr>
          <w:rFonts w:ascii="仿宋" w:hAnsi="仿宋" w:eastAsia="仿宋" w:cs="仿宋"/>
          <w:spacing w:val="13"/>
          <w:sz w:val="31"/>
          <w:szCs w:val="31"/>
        </w:rPr>
        <w:t>应研究（1）江西人口与产业发展趋势</w:t>
      </w:r>
      <w:r>
        <w:rPr>
          <w:rFonts w:ascii="仿宋" w:hAnsi="仿宋" w:eastAsia="仿宋" w:cs="仿宋"/>
          <w:spacing w:val="-78"/>
          <w:w w:val="89"/>
          <w:sz w:val="31"/>
          <w:szCs w:val="31"/>
        </w:rPr>
        <w:t>；</w:t>
      </w:r>
      <w:r>
        <w:rPr>
          <w:rFonts w:ascii="仿宋" w:hAnsi="仿宋" w:eastAsia="仿宋" w:cs="仿宋"/>
          <w:spacing w:val="13"/>
          <w:sz w:val="31"/>
          <w:szCs w:val="31"/>
        </w:rPr>
        <w:t>（</w:t>
      </w:r>
      <w:r>
        <w:rPr>
          <w:rFonts w:hint="eastAsia" w:ascii="仿宋" w:hAnsi="仿宋" w:eastAsia="仿宋" w:cs="仿宋"/>
          <w:spacing w:val="13"/>
          <w:sz w:val="31"/>
          <w:szCs w:val="31"/>
          <w:lang w:val="en-US" w:eastAsia="zh-CN"/>
        </w:rPr>
        <w:t>2</w:t>
      </w:r>
      <w:r>
        <w:rPr>
          <w:rFonts w:ascii="仿宋" w:hAnsi="仿宋" w:eastAsia="仿宋" w:cs="仿宋"/>
          <w:spacing w:val="13"/>
          <w:sz w:val="31"/>
          <w:szCs w:val="31"/>
        </w:rPr>
        <w:t>）江</w:t>
      </w:r>
      <w:r>
        <w:rPr>
          <w:rFonts w:ascii="仿宋" w:hAnsi="仿宋" w:eastAsia="仿宋" w:cs="仿宋"/>
          <w:spacing w:val="8"/>
          <w:sz w:val="31"/>
          <w:szCs w:val="31"/>
        </w:rPr>
        <w:t>西人口与产业变化趋势对江西教育结构的挑战</w:t>
      </w:r>
      <w:r>
        <w:rPr>
          <w:rFonts w:ascii="仿宋" w:hAnsi="仿宋" w:eastAsia="仿宋" w:cs="仿宋"/>
          <w:spacing w:val="-76"/>
          <w:w w:val="87"/>
          <w:sz w:val="31"/>
          <w:szCs w:val="31"/>
        </w:rPr>
        <w:t>；</w:t>
      </w:r>
      <w:r>
        <w:rPr>
          <w:rFonts w:ascii="仿宋" w:hAnsi="仿宋" w:eastAsia="仿宋" w:cs="仿宋"/>
          <w:spacing w:val="13"/>
          <w:sz w:val="31"/>
          <w:szCs w:val="31"/>
        </w:rPr>
        <w:t>（</w:t>
      </w:r>
      <w:r>
        <w:rPr>
          <w:rFonts w:hint="eastAsia" w:ascii="仿宋" w:hAnsi="仿宋" w:eastAsia="仿宋" w:cs="仿宋"/>
          <w:spacing w:val="13"/>
          <w:sz w:val="31"/>
          <w:szCs w:val="31"/>
          <w:lang w:val="en-US" w:eastAsia="zh-CN"/>
        </w:rPr>
        <w:t>3</w:t>
      </w:r>
      <w:r>
        <w:rPr>
          <w:rFonts w:ascii="仿宋" w:hAnsi="仿宋" w:eastAsia="仿宋" w:cs="仿宋"/>
          <w:spacing w:val="13"/>
          <w:sz w:val="31"/>
          <w:szCs w:val="31"/>
        </w:rPr>
        <w:t>）</w:t>
      </w:r>
      <w:r>
        <w:rPr>
          <w:rFonts w:ascii="仿宋" w:hAnsi="仿宋" w:eastAsia="仿宋" w:cs="仿宋"/>
          <w:spacing w:val="8"/>
          <w:sz w:val="31"/>
          <w:szCs w:val="31"/>
        </w:rPr>
        <w:t>基于江西人</w:t>
      </w:r>
      <w:r>
        <w:rPr>
          <w:rFonts w:ascii="仿宋" w:hAnsi="仿宋" w:eastAsia="仿宋" w:cs="仿宋"/>
          <w:spacing w:val="5"/>
          <w:sz w:val="31"/>
          <w:szCs w:val="31"/>
        </w:rPr>
        <w:t>口与产业变化趋势的江西高等教育层次、区域和科类结构优化调</w:t>
      </w:r>
      <w:r>
        <w:rPr>
          <w:rFonts w:ascii="仿宋" w:hAnsi="仿宋" w:eastAsia="仿宋" w:cs="仿宋"/>
          <w:spacing w:val="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4"/>
          <w:sz w:val="31"/>
          <w:szCs w:val="31"/>
        </w:rPr>
        <w:t>整政策研究。</w:t>
      </w:r>
    </w:p>
    <w:p w14:paraId="090300DC">
      <w:pPr>
        <w:spacing w:before="52" w:line="227" w:lineRule="auto"/>
        <w:ind w:left="634"/>
        <w:outlineLvl w:val="1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b/>
          <w:bCs/>
          <w:spacing w:val="6"/>
          <w:sz w:val="31"/>
          <w:szCs w:val="31"/>
        </w:rPr>
        <w:t>2.江西高校专业、学科、学院资源优化整合研究</w:t>
      </w:r>
    </w:p>
    <w:p w14:paraId="03178E15">
      <w:pPr>
        <w:spacing w:before="176" w:line="326" w:lineRule="auto"/>
        <w:ind w:left="3" w:firstLine="636"/>
        <w:jc w:val="both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b/>
          <w:bCs/>
          <w:spacing w:val="10"/>
          <w:sz w:val="31"/>
          <w:szCs w:val="31"/>
        </w:rPr>
        <w:t>指南意图：</w:t>
      </w:r>
      <w:r>
        <w:rPr>
          <w:rFonts w:ascii="仿宋" w:hAnsi="仿宋" w:eastAsia="仿宋" w:cs="仿宋"/>
          <w:spacing w:val="10"/>
          <w:sz w:val="31"/>
          <w:szCs w:val="31"/>
        </w:rPr>
        <w:t>应研究（1）江西高校专业、学科、学院资源的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7"/>
          <w:sz w:val="31"/>
          <w:szCs w:val="31"/>
        </w:rPr>
        <w:t>分布现状与存在问题</w:t>
      </w:r>
      <w:r>
        <w:rPr>
          <w:rFonts w:ascii="仿宋" w:hAnsi="仿宋" w:eastAsia="仿宋" w:cs="仿宋"/>
          <w:spacing w:val="-80"/>
          <w:w w:val="92"/>
          <w:sz w:val="31"/>
          <w:szCs w:val="31"/>
        </w:rPr>
        <w:t>；</w:t>
      </w:r>
      <w:r>
        <w:rPr>
          <w:rFonts w:ascii="仿宋" w:hAnsi="仿宋" w:eastAsia="仿宋" w:cs="仿宋"/>
          <w:spacing w:val="13"/>
          <w:sz w:val="31"/>
          <w:szCs w:val="31"/>
        </w:rPr>
        <w:t>（</w:t>
      </w:r>
      <w:r>
        <w:rPr>
          <w:rFonts w:hint="eastAsia" w:ascii="仿宋" w:hAnsi="仿宋" w:eastAsia="仿宋" w:cs="仿宋"/>
          <w:spacing w:val="13"/>
          <w:sz w:val="31"/>
          <w:szCs w:val="31"/>
          <w:lang w:val="en-US" w:eastAsia="zh-CN"/>
        </w:rPr>
        <w:t>2</w:t>
      </w:r>
      <w:r>
        <w:rPr>
          <w:rFonts w:ascii="仿宋" w:hAnsi="仿宋" w:eastAsia="仿宋" w:cs="仿宋"/>
          <w:spacing w:val="13"/>
          <w:sz w:val="31"/>
          <w:szCs w:val="31"/>
        </w:rPr>
        <w:t>）</w:t>
      </w:r>
      <w:r>
        <w:rPr>
          <w:rFonts w:ascii="仿宋" w:hAnsi="仿宋" w:eastAsia="仿宋" w:cs="仿宋"/>
          <w:spacing w:val="7"/>
          <w:sz w:val="31"/>
          <w:szCs w:val="31"/>
        </w:rPr>
        <w:t>江西高校专业、学科、学院资源整合</w:t>
      </w:r>
      <w:r>
        <w:rPr>
          <w:rFonts w:ascii="仿宋" w:hAnsi="仿宋" w:eastAsia="仿宋" w:cs="仿宋"/>
          <w:spacing w:val="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9"/>
          <w:sz w:val="31"/>
          <w:szCs w:val="31"/>
        </w:rPr>
        <w:t>的时代要求与可行分析</w:t>
      </w:r>
      <w:r>
        <w:rPr>
          <w:rFonts w:ascii="仿宋" w:hAnsi="仿宋" w:eastAsia="仿宋" w:cs="仿宋"/>
          <w:spacing w:val="-70"/>
          <w:w w:val="80"/>
          <w:sz w:val="31"/>
          <w:szCs w:val="31"/>
        </w:rPr>
        <w:t>；</w:t>
      </w:r>
      <w:r>
        <w:rPr>
          <w:rFonts w:ascii="仿宋" w:hAnsi="仿宋" w:eastAsia="仿宋" w:cs="仿宋"/>
          <w:spacing w:val="13"/>
          <w:sz w:val="31"/>
          <w:szCs w:val="31"/>
        </w:rPr>
        <w:t>（</w:t>
      </w:r>
      <w:r>
        <w:rPr>
          <w:rFonts w:hint="eastAsia" w:ascii="仿宋" w:hAnsi="仿宋" w:eastAsia="仿宋" w:cs="仿宋"/>
          <w:spacing w:val="13"/>
          <w:sz w:val="31"/>
          <w:szCs w:val="31"/>
          <w:lang w:val="en-US" w:eastAsia="zh-CN"/>
        </w:rPr>
        <w:t>3</w:t>
      </w:r>
      <w:r>
        <w:rPr>
          <w:rFonts w:ascii="仿宋" w:hAnsi="仿宋" w:eastAsia="仿宋" w:cs="仿宋"/>
          <w:spacing w:val="13"/>
          <w:sz w:val="31"/>
          <w:szCs w:val="31"/>
        </w:rPr>
        <w:t>）</w:t>
      </w:r>
      <w:r>
        <w:rPr>
          <w:rFonts w:ascii="仿宋" w:hAnsi="仿宋" w:eastAsia="仿宋" w:cs="仿宋"/>
          <w:spacing w:val="9"/>
          <w:sz w:val="31"/>
          <w:szCs w:val="31"/>
        </w:rPr>
        <w:t>江西高校专业、学科、学院资</w:t>
      </w:r>
      <w:r>
        <w:rPr>
          <w:rFonts w:ascii="仿宋" w:hAnsi="仿宋" w:eastAsia="仿宋" w:cs="仿宋"/>
          <w:spacing w:val="8"/>
          <w:sz w:val="31"/>
          <w:szCs w:val="31"/>
        </w:rPr>
        <w:t>源整</w:t>
      </w:r>
      <w:r>
        <w:rPr>
          <w:rFonts w:ascii="仿宋" w:hAnsi="仿宋" w:eastAsia="仿宋" w:cs="仿宋"/>
          <w:spacing w:val="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4"/>
          <w:sz w:val="31"/>
          <w:szCs w:val="31"/>
        </w:rPr>
        <w:t>合的路径研究。</w:t>
      </w:r>
    </w:p>
    <w:p w14:paraId="0EBF683F">
      <w:pPr>
        <w:spacing w:before="53" w:line="226" w:lineRule="auto"/>
        <w:ind w:left="637"/>
        <w:outlineLvl w:val="1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b/>
          <w:bCs/>
          <w:spacing w:val="6"/>
          <w:sz w:val="31"/>
          <w:szCs w:val="31"/>
        </w:rPr>
        <w:t>3.江西高校学科专业与经济社会发展契合度评估研究</w:t>
      </w:r>
    </w:p>
    <w:p w14:paraId="617F72B2">
      <w:pPr>
        <w:spacing w:before="184" w:line="325" w:lineRule="auto"/>
        <w:ind w:firstLine="640"/>
        <w:jc w:val="both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b/>
          <w:bCs/>
          <w:spacing w:val="10"/>
          <w:sz w:val="31"/>
          <w:szCs w:val="31"/>
        </w:rPr>
        <w:t>指南意图：</w:t>
      </w:r>
      <w:r>
        <w:rPr>
          <w:rFonts w:ascii="仿宋" w:hAnsi="仿宋" w:eastAsia="仿宋" w:cs="仿宋"/>
          <w:spacing w:val="10"/>
          <w:sz w:val="31"/>
          <w:szCs w:val="31"/>
        </w:rPr>
        <w:t>应研究（1）江西高校学科专业与经济社会发展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8"/>
          <w:sz w:val="31"/>
          <w:szCs w:val="31"/>
        </w:rPr>
        <w:t>契合度内涵</w:t>
      </w:r>
      <w:r>
        <w:rPr>
          <w:rFonts w:ascii="仿宋" w:hAnsi="仿宋" w:eastAsia="仿宋" w:cs="仿宋"/>
          <w:spacing w:val="-76"/>
          <w:w w:val="87"/>
          <w:sz w:val="31"/>
          <w:szCs w:val="31"/>
        </w:rPr>
        <w:t>；</w:t>
      </w:r>
      <w:r>
        <w:rPr>
          <w:rFonts w:ascii="仿宋" w:hAnsi="仿宋" w:eastAsia="仿宋" w:cs="仿宋"/>
          <w:spacing w:val="13"/>
          <w:sz w:val="31"/>
          <w:szCs w:val="31"/>
        </w:rPr>
        <w:t>（</w:t>
      </w:r>
      <w:r>
        <w:rPr>
          <w:rFonts w:hint="eastAsia" w:ascii="仿宋" w:hAnsi="仿宋" w:eastAsia="仿宋" w:cs="仿宋"/>
          <w:spacing w:val="13"/>
          <w:sz w:val="31"/>
          <w:szCs w:val="31"/>
          <w:lang w:val="en-US" w:eastAsia="zh-CN"/>
        </w:rPr>
        <w:t>2</w:t>
      </w:r>
      <w:r>
        <w:rPr>
          <w:rFonts w:ascii="仿宋" w:hAnsi="仿宋" w:eastAsia="仿宋" w:cs="仿宋"/>
          <w:spacing w:val="13"/>
          <w:sz w:val="31"/>
          <w:szCs w:val="31"/>
        </w:rPr>
        <w:t>）</w:t>
      </w:r>
      <w:r>
        <w:rPr>
          <w:rFonts w:ascii="仿宋" w:hAnsi="仿宋" w:eastAsia="仿宋" w:cs="仿宋"/>
          <w:spacing w:val="8"/>
          <w:sz w:val="31"/>
          <w:szCs w:val="31"/>
        </w:rPr>
        <w:t>江西高校学科专业与经济社会发展契合度评估</w:t>
      </w:r>
      <w:r>
        <w:rPr>
          <w:rFonts w:ascii="仿宋" w:hAnsi="仿宋" w:eastAsia="仿宋" w:cs="仿宋"/>
          <w:spacing w:val="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8"/>
          <w:sz w:val="31"/>
          <w:szCs w:val="31"/>
        </w:rPr>
        <w:t>指标体系</w:t>
      </w:r>
      <w:r>
        <w:rPr>
          <w:rFonts w:ascii="仿宋" w:hAnsi="仿宋" w:eastAsia="仿宋" w:cs="仿宋"/>
          <w:spacing w:val="-76"/>
          <w:w w:val="87"/>
          <w:sz w:val="31"/>
          <w:szCs w:val="31"/>
        </w:rPr>
        <w:t>；</w:t>
      </w:r>
      <w:r>
        <w:rPr>
          <w:rFonts w:ascii="仿宋" w:hAnsi="仿宋" w:eastAsia="仿宋" w:cs="仿宋"/>
          <w:spacing w:val="13"/>
          <w:sz w:val="31"/>
          <w:szCs w:val="31"/>
        </w:rPr>
        <w:t>（</w:t>
      </w:r>
      <w:r>
        <w:rPr>
          <w:rFonts w:hint="eastAsia" w:ascii="仿宋" w:hAnsi="仿宋" w:eastAsia="仿宋" w:cs="仿宋"/>
          <w:spacing w:val="13"/>
          <w:sz w:val="31"/>
          <w:szCs w:val="31"/>
          <w:lang w:val="en-US" w:eastAsia="zh-CN"/>
        </w:rPr>
        <w:t>3</w:t>
      </w:r>
      <w:r>
        <w:rPr>
          <w:rFonts w:ascii="仿宋" w:hAnsi="仿宋" w:eastAsia="仿宋" w:cs="仿宋"/>
          <w:spacing w:val="13"/>
          <w:sz w:val="31"/>
          <w:szCs w:val="31"/>
        </w:rPr>
        <w:t>）</w:t>
      </w:r>
      <w:r>
        <w:rPr>
          <w:rFonts w:ascii="仿宋" w:hAnsi="仿宋" w:eastAsia="仿宋" w:cs="仿宋"/>
          <w:spacing w:val="8"/>
          <w:sz w:val="31"/>
          <w:szCs w:val="31"/>
        </w:rPr>
        <w:t>江西高校学科专业与经济社会发展契合度评估结</w:t>
      </w:r>
      <w:r>
        <w:rPr>
          <w:rFonts w:ascii="仿宋" w:hAnsi="仿宋" w:eastAsia="仿宋" w:cs="仿宋"/>
          <w:spacing w:val="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6"/>
          <w:sz w:val="31"/>
          <w:szCs w:val="31"/>
        </w:rPr>
        <w:t>果分析与政策建议。</w:t>
      </w:r>
    </w:p>
    <w:p w14:paraId="6F9D8D14">
      <w:pPr>
        <w:spacing w:before="53" w:line="227" w:lineRule="auto"/>
        <w:ind w:left="629"/>
        <w:outlineLvl w:val="1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b/>
          <w:bCs/>
          <w:spacing w:val="7"/>
          <w:sz w:val="31"/>
          <w:szCs w:val="31"/>
        </w:rPr>
        <w:t>4.江西高等教育促进新质生产力发展的机</w:t>
      </w:r>
      <w:r>
        <w:rPr>
          <w:rFonts w:ascii="仿宋" w:hAnsi="仿宋" w:eastAsia="仿宋" w:cs="仿宋"/>
          <w:b/>
          <w:bCs/>
          <w:spacing w:val="6"/>
          <w:sz w:val="31"/>
          <w:szCs w:val="31"/>
        </w:rPr>
        <w:t>制研究</w:t>
      </w:r>
    </w:p>
    <w:p w14:paraId="5D565A2D">
      <w:pPr>
        <w:spacing w:before="180" w:line="225" w:lineRule="auto"/>
        <w:jc w:val="right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b/>
          <w:bCs/>
          <w:spacing w:val="7"/>
          <w:sz w:val="31"/>
          <w:szCs w:val="31"/>
        </w:rPr>
        <w:t>指南意图：</w:t>
      </w:r>
      <w:r>
        <w:rPr>
          <w:rFonts w:ascii="仿宋" w:hAnsi="仿宋" w:eastAsia="仿宋" w:cs="仿宋"/>
          <w:spacing w:val="7"/>
          <w:sz w:val="31"/>
          <w:szCs w:val="31"/>
        </w:rPr>
        <w:t>应研究</w:t>
      </w:r>
      <w:r>
        <w:rPr>
          <w:rFonts w:ascii="仿宋" w:hAnsi="仿宋" w:eastAsia="仿宋" w:cs="仿宋"/>
          <w:spacing w:val="-78"/>
          <w:w w:val="89"/>
          <w:sz w:val="31"/>
          <w:szCs w:val="31"/>
        </w:rPr>
        <w:t>：</w:t>
      </w:r>
      <w:r>
        <w:rPr>
          <w:rFonts w:ascii="仿宋" w:hAnsi="仿宋" w:eastAsia="仿宋" w:cs="仿宋"/>
          <w:spacing w:val="13"/>
          <w:sz w:val="31"/>
          <w:szCs w:val="31"/>
        </w:rPr>
        <w:t>（1）</w:t>
      </w:r>
      <w:r>
        <w:rPr>
          <w:rFonts w:ascii="仿宋" w:hAnsi="仿宋" w:eastAsia="仿宋" w:cs="仿宋"/>
          <w:spacing w:val="7"/>
          <w:sz w:val="31"/>
          <w:szCs w:val="31"/>
        </w:rPr>
        <w:t>高等教育促进新质生产力的内在机</w:t>
      </w:r>
    </w:p>
    <w:p w14:paraId="1EB542BE">
      <w:pPr>
        <w:spacing w:line="225" w:lineRule="auto"/>
        <w:rPr>
          <w:rFonts w:ascii="仿宋" w:hAnsi="仿宋" w:eastAsia="仿宋" w:cs="仿宋"/>
          <w:sz w:val="31"/>
          <w:szCs w:val="31"/>
        </w:rPr>
        <w:sectPr>
          <w:footerReference r:id="rId7" w:type="default"/>
          <w:pgSz w:w="11906" w:h="16839"/>
          <w:pgMar w:top="1431" w:right="1473" w:bottom="1177" w:left="1607" w:header="0" w:footer="1012" w:gutter="0"/>
          <w:cols w:space="720" w:num="1"/>
        </w:sectPr>
      </w:pPr>
    </w:p>
    <w:p w14:paraId="329E915F">
      <w:pPr>
        <w:pStyle w:val="3"/>
        <w:spacing w:line="245" w:lineRule="auto"/>
      </w:pPr>
    </w:p>
    <w:p w14:paraId="682F3B52">
      <w:pPr>
        <w:pStyle w:val="3"/>
        <w:spacing w:line="245" w:lineRule="auto"/>
      </w:pPr>
    </w:p>
    <w:p w14:paraId="30C8CDC5">
      <w:pPr>
        <w:pStyle w:val="3"/>
        <w:spacing w:line="246" w:lineRule="auto"/>
      </w:pPr>
    </w:p>
    <w:p w14:paraId="493BABEE">
      <w:pPr>
        <w:spacing w:before="101" w:line="317" w:lineRule="auto"/>
        <w:ind w:left="1" w:hanging="1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2"/>
          <w:sz w:val="31"/>
          <w:szCs w:val="31"/>
        </w:rPr>
        <w:t>理</w:t>
      </w:r>
      <w:r>
        <w:rPr>
          <w:rFonts w:ascii="仿宋" w:hAnsi="仿宋" w:eastAsia="仿宋" w:cs="仿宋"/>
          <w:spacing w:val="-74"/>
          <w:w w:val="85"/>
          <w:sz w:val="31"/>
          <w:szCs w:val="31"/>
        </w:rPr>
        <w:t>；</w:t>
      </w:r>
      <w:r>
        <w:rPr>
          <w:rFonts w:ascii="仿宋" w:hAnsi="仿宋" w:eastAsia="仿宋" w:cs="仿宋"/>
          <w:spacing w:val="13"/>
          <w:sz w:val="31"/>
          <w:szCs w:val="31"/>
        </w:rPr>
        <w:t>（</w:t>
      </w:r>
      <w:r>
        <w:rPr>
          <w:rFonts w:hint="eastAsia" w:ascii="仿宋" w:hAnsi="仿宋" w:eastAsia="仿宋" w:cs="仿宋"/>
          <w:spacing w:val="13"/>
          <w:sz w:val="31"/>
          <w:szCs w:val="31"/>
          <w:lang w:val="en-US" w:eastAsia="zh-CN"/>
        </w:rPr>
        <w:t>2</w:t>
      </w:r>
      <w:r>
        <w:rPr>
          <w:rFonts w:ascii="仿宋" w:hAnsi="仿宋" w:eastAsia="仿宋" w:cs="仿宋"/>
          <w:spacing w:val="13"/>
          <w:sz w:val="31"/>
          <w:szCs w:val="31"/>
        </w:rPr>
        <w:t>）</w:t>
      </w:r>
      <w:r>
        <w:rPr>
          <w:rFonts w:ascii="仿宋" w:hAnsi="仿宋" w:eastAsia="仿宋" w:cs="仿宋"/>
          <w:spacing w:val="12"/>
          <w:sz w:val="31"/>
          <w:szCs w:val="31"/>
        </w:rPr>
        <w:t>江西高等教育促进新质生产力发展的</w:t>
      </w:r>
      <w:r>
        <w:rPr>
          <w:rFonts w:ascii="仿宋" w:hAnsi="仿宋" w:eastAsia="仿宋" w:cs="仿宋"/>
          <w:spacing w:val="11"/>
          <w:sz w:val="31"/>
          <w:szCs w:val="31"/>
        </w:rPr>
        <w:t>现状</w:t>
      </w:r>
      <w:r>
        <w:rPr>
          <w:rFonts w:ascii="仿宋" w:hAnsi="仿宋" w:eastAsia="仿宋" w:cs="仿宋"/>
          <w:spacing w:val="-74"/>
          <w:w w:val="85"/>
          <w:sz w:val="31"/>
          <w:szCs w:val="31"/>
        </w:rPr>
        <w:t>；</w:t>
      </w:r>
      <w:r>
        <w:rPr>
          <w:rFonts w:ascii="仿宋" w:hAnsi="仿宋" w:eastAsia="仿宋" w:cs="仿宋"/>
          <w:spacing w:val="13"/>
          <w:sz w:val="31"/>
          <w:szCs w:val="31"/>
        </w:rPr>
        <w:t>（</w:t>
      </w:r>
      <w:r>
        <w:rPr>
          <w:rFonts w:hint="eastAsia" w:ascii="仿宋" w:hAnsi="仿宋" w:eastAsia="仿宋" w:cs="仿宋"/>
          <w:spacing w:val="13"/>
          <w:sz w:val="31"/>
          <w:szCs w:val="31"/>
          <w:lang w:val="en-US" w:eastAsia="zh-CN"/>
        </w:rPr>
        <w:t>3</w:t>
      </w:r>
      <w:r>
        <w:rPr>
          <w:rFonts w:ascii="仿宋" w:hAnsi="仿宋" w:eastAsia="仿宋" w:cs="仿宋"/>
          <w:spacing w:val="13"/>
          <w:sz w:val="31"/>
          <w:szCs w:val="31"/>
        </w:rPr>
        <w:t>）</w:t>
      </w:r>
      <w:r>
        <w:rPr>
          <w:rFonts w:ascii="仿宋" w:hAnsi="仿宋" w:eastAsia="仿宋" w:cs="仿宋"/>
          <w:spacing w:val="11"/>
          <w:sz w:val="31"/>
          <w:szCs w:val="31"/>
        </w:rPr>
        <w:t>优化江</w:t>
      </w:r>
      <w:r>
        <w:rPr>
          <w:rFonts w:ascii="仿宋" w:hAnsi="仿宋" w:eastAsia="仿宋" w:cs="仿宋"/>
          <w:spacing w:val="8"/>
          <w:sz w:val="31"/>
          <w:szCs w:val="31"/>
        </w:rPr>
        <w:t xml:space="preserve"> 西高等教育促进新质生产力发展制度机制建设的政策建议。</w:t>
      </w:r>
    </w:p>
    <w:p w14:paraId="4412E613">
      <w:pPr>
        <w:spacing w:line="317" w:lineRule="auto"/>
        <w:rPr>
          <w:rFonts w:ascii="仿宋" w:hAnsi="仿宋" w:eastAsia="仿宋" w:cs="仿宋"/>
          <w:sz w:val="31"/>
          <w:szCs w:val="31"/>
        </w:rPr>
        <w:sectPr>
          <w:footerReference r:id="rId8" w:type="default"/>
          <w:pgSz w:w="11906" w:h="16839"/>
          <w:pgMar w:top="1431" w:right="1473" w:bottom="1177" w:left="1610" w:header="0" w:footer="1012" w:gutter="0"/>
          <w:cols w:space="720" w:num="1"/>
        </w:sectPr>
      </w:pPr>
    </w:p>
    <w:p w14:paraId="279BAB53">
      <w:pPr>
        <w:pStyle w:val="3"/>
        <w:spacing w:line="309" w:lineRule="auto"/>
      </w:pPr>
    </w:p>
    <w:p w14:paraId="1412804D">
      <w:pPr>
        <w:pStyle w:val="3"/>
        <w:spacing w:line="310" w:lineRule="auto"/>
      </w:pPr>
    </w:p>
    <w:p w14:paraId="68CABE8E">
      <w:pPr>
        <w:widowControl w:val="0"/>
        <w:kinsoku/>
        <w:autoSpaceDE/>
        <w:autoSpaceDN/>
        <w:adjustRightInd/>
        <w:snapToGrid/>
        <w:spacing w:line="700" w:lineRule="exact"/>
        <w:ind w:left="720" w:hanging="720" w:hangingChars="200"/>
        <w:jc w:val="center"/>
        <w:textAlignment w:val="auto"/>
        <w:rPr>
          <w:rFonts w:hint="eastAsia" w:ascii="方正小标宋简体" w:hAnsi="宋体" w:eastAsia="方正小标宋简体" w:cstheme="minorBidi"/>
          <w:snapToGrid/>
          <w:kern w:val="2"/>
          <w:sz w:val="36"/>
          <w:szCs w:val="36"/>
          <w:lang w:eastAsia="zh-CN"/>
        </w:rPr>
      </w:pPr>
      <w:r>
        <w:rPr>
          <w:rFonts w:hint="eastAsia" w:ascii="方正小标宋简体" w:hAnsi="宋体" w:eastAsia="方正小标宋简体" w:cstheme="minorBidi"/>
          <w:snapToGrid/>
          <w:kern w:val="2"/>
          <w:sz w:val="36"/>
          <w:szCs w:val="36"/>
          <w:lang w:eastAsia="zh-CN"/>
        </w:rPr>
        <w:t>二 综合政策研究课题指南</w:t>
      </w:r>
    </w:p>
    <w:p w14:paraId="1E7FFD27">
      <w:pPr>
        <w:spacing w:before="190" w:line="230" w:lineRule="auto"/>
        <w:ind w:left="1081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7"/>
          <w:sz w:val="31"/>
          <w:szCs w:val="31"/>
        </w:rPr>
        <w:t>（南昌理工学院、江西应用科技学院支持设立）</w:t>
      </w:r>
    </w:p>
    <w:p w14:paraId="4223E348">
      <w:pPr>
        <w:pStyle w:val="3"/>
        <w:spacing w:line="314" w:lineRule="auto"/>
      </w:pPr>
    </w:p>
    <w:p w14:paraId="758B129B">
      <w:pPr>
        <w:pStyle w:val="3"/>
        <w:spacing w:line="314" w:lineRule="auto"/>
      </w:pPr>
    </w:p>
    <w:p w14:paraId="2EE8821C">
      <w:pPr>
        <w:spacing w:before="101" w:line="322" w:lineRule="auto"/>
        <w:ind w:left="7" w:right="2" w:firstLine="638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4"/>
          <w:sz w:val="31"/>
          <w:szCs w:val="31"/>
        </w:rPr>
        <w:t>综合政策课题鼓励结合以下选题进行申报，具体申报题目自</w:t>
      </w:r>
      <w:r>
        <w:rPr>
          <w:rFonts w:ascii="仿宋" w:hAnsi="仿宋" w:eastAsia="仿宋" w:cs="仿宋"/>
          <w:spacing w:val="1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0"/>
          <w:sz w:val="31"/>
          <w:szCs w:val="31"/>
        </w:rPr>
        <w:t>定。</w:t>
      </w:r>
    </w:p>
    <w:p w14:paraId="13ADBC42">
      <w:pPr>
        <w:spacing w:before="38" w:line="227" w:lineRule="auto"/>
        <w:ind w:left="655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8"/>
          <w:sz w:val="31"/>
          <w:szCs w:val="31"/>
        </w:rPr>
        <w:t>1.江西高校教育科技人才一体化发展模式构建研究</w:t>
      </w:r>
    </w:p>
    <w:p w14:paraId="523181DB">
      <w:pPr>
        <w:spacing w:before="180" w:line="227" w:lineRule="auto"/>
        <w:ind w:left="635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9"/>
          <w:sz w:val="31"/>
          <w:szCs w:val="31"/>
        </w:rPr>
        <w:t>2.教育家精神引领下江西高校高质量教师队伍</w:t>
      </w:r>
      <w:r>
        <w:rPr>
          <w:rFonts w:ascii="仿宋" w:hAnsi="仿宋" w:eastAsia="仿宋" w:cs="仿宋"/>
          <w:spacing w:val="8"/>
          <w:sz w:val="31"/>
          <w:szCs w:val="31"/>
        </w:rPr>
        <w:t>发展研究</w:t>
      </w:r>
    </w:p>
    <w:p w14:paraId="508FB53A">
      <w:pPr>
        <w:spacing w:before="178" w:line="317" w:lineRule="auto"/>
        <w:ind w:left="630" w:right="2126" w:firstLine="7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8"/>
          <w:sz w:val="31"/>
          <w:szCs w:val="31"/>
        </w:rPr>
        <w:t>3.江西高校学科专业动态调整优化模式研究</w:t>
      </w:r>
      <w:r>
        <w:rPr>
          <w:rFonts w:ascii="仿宋" w:hAnsi="仿宋" w:eastAsia="仿宋" w:cs="仿宋"/>
          <w:spacing w:val="10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8"/>
          <w:sz w:val="31"/>
          <w:szCs w:val="31"/>
        </w:rPr>
        <w:t>4.江西高校科教融汇、产教融合路径研究</w:t>
      </w:r>
    </w:p>
    <w:p w14:paraId="7938FA7A">
      <w:pPr>
        <w:spacing w:before="57" w:line="227" w:lineRule="auto"/>
        <w:ind w:left="638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8"/>
          <w:sz w:val="31"/>
          <w:szCs w:val="31"/>
        </w:rPr>
        <w:t>5.江西高校分类管理分类发展研究</w:t>
      </w:r>
    </w:p>
    <w:p w14:paraId="5ED90EAE">
      <w:pPr>
        <w:spacing w:before="179" w:line="317" w:lineRule="auto"/>
        <w:ind w:left="639" w:right="2126" w:hanging="5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6"/>
          <w:sz w:val="31"/>
          <w:szCs w:val="31"/>
        </w:rPr>
        <w:t>6.江西研究型高校推进“双一流</w:t>
      </w:r>
      <w:r>
        <w:rPr>
          <w:rFonts w:ascii="仿宋" w:hAnsi="仿宋" w:eastAsia="仿宋" w:cs="仿宋"/>
          <w:spacing w:val="-10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6"/>
          <w:sz w:val="31"/>
          <w:szCs w:val="31"/>
        </w:rPr>
        <w:t>”建设研究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7"/>
          <w:sz w:val="31"/>
          <w:szCs w:val="31"/>
        </w:rPr>
        <w:t>7.江西职业教育高地建设研究</w:t>
      </w:r>
    </w:p>
    <w:p w14:paraId="6E2B694A">
      <w:pPr>
        <w:spacing w:before="55" w:line="227" w:lineRule="auto"/>
        <w:ind w:left="633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8"/>
          <w:sz w:val="31"/>
          <w:szCs w:val="31"/>
        </w:rPr>
        <w:t>8.江西民办高校高质量发展研究</w:t>
      </w:r>
    </w:p>
    <w:p w14:paraId="68E3C0DA">
      <w:pPr>
        <w:spacing w:before="178" w:line="318" w:lineRule="auto"/>
        <w:ind w:firstLine="633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7"/>
          <w:sz w:val="31"/>
          <w:szCs w:val="31"/>
        </w:rPr>
        <w:t>9.教育强国背景下江西应用型本科高校社会服务能力提升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"/>
          <w:sz w:val="31"/>
          <w:szCs w:val="31"/>
        </w:rPr>
        <w:t>研究</w:t>
      </w:r>
    </w:p>
    <w:p w14:paraId="3FBF57FE">
      <w:pPr>
        <w:spacing w:before="51" w:line="317" w:lineRule="auto"/>
        <w:ind w:left="655" w:right="45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8"/>
          <w:sz w:val="31"/>
          <w:szCs w:val="31"/>
        </w:rPr>
        <w:t>10.江西应用型高校产教融合科教融汇与产业学院建设研究</w:t>
      </w:r>
      <w:r>
        <w:rPr>
          <w:rFonts w:ascii="仿宋" w:hAnsi="仿宋" w:eastAsia="仿宋" w:cs="仿宋"/>
          <w:spacing w:val="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8"/>
          <w:sz w:val="31"/>
          <w:szCs w:val="31"/>
        </w:rPr>
        <w:t>11.新质生产力视角下江西高校应用型人才培养范式研究</w:t>
      </w:r>
    </w:p>
    <w:p w14:paraId="7E7974A5">
      <w:pPr>
        <w:spacing w:before="56" w:line="227" w:lineRule="auto"/>
        <w:ind w:left="655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7"/>
          <w:sz w:val="31"/>
          <w:szCs w:val="31"/>
        </w:rPr>
        <w:t>12.江西高水平应用型本科高校建设路径研究</w:t>
      </w:r>
    </w:p>
    <w:p w14:paraId="0FAAC6EE">
      <w:pPr>
        <w:spacing w:before="180" w:line="317" w:lineRule="auto"/>
        <w:ind w:left="655" w:right="48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4"/>
          <w:sz w:val="31"/>
          <w:szCs w:val="31"/>
        </w:rPr>
        <w:t>13.“</w:t>
      </w:r>
      <w:r>
        <w:rPr>
          <w:rFonts w:ascii="仿宋" w:hAnsi="仿宋" w:eastAsia="仿宋" w:cs="仿宋"/>
          <w:spacing w:val="-9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4"/>
          <w:sz w:val="31"/>
          <w:szCs w:val="31"/>
        </w:rPr>
        <w:t>四新</w:t>
      </w:r>
      <w:r>
        <w:rPr>
          <w:rFonts w:ascii="仿宋" w:hAnsi="仿宋" w:eastAsia="仿宋" w:cs="仿宋"/>
          <w:spacing w:val="-110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4"/>
          <w:sz w:val="31"/>
          <w:szCs w:val="31"/>
        </w:rPr>
        <w:t>”建设与江西民办高校应用型人才培养范式研究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7"/>
          <w:sz w:val="31"/>
          <w:szCs w:val="31"/>
        </w:rPr>
        <w:t>14.人工智能视域下的江西高校教育教学改革研究</w:t>
      </w:r>
    </w:p>
    <w:p w14:paraId="0C8C1737">
      <w:pPr>
        <w:spacing w:before="55" w:line="318" w:lineRule="auto"/>
        <w:ind w:left="655" w:right="3247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6"/>
          <w:sz w:val="31"/>
          <w:szCs w:val="31"/>
        </w:rPr>
        <w:t>15.江西高校内部治理能力提升研究</w:t>
      </w:r>
      <w:r>
        <w:rPr>
          <w:rFonts w:ascii="仿宋" w:hAnsi="仿宋" w:eastAsia="仿宋" w:cs="仿宋"/>
          <w:spacing w:val="1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6"/>
          <w:sz w:val="31"/>
          <w:szCs w:val="31"/>
        </w:rPr>
        <w:t>16.江西高校教育评价改革研究</w:t>
      </w:r>
    </w:p>
    <w:p w14:paraId="3683BB6B">
      <w:pPr>
        <w:spacing w:line="318" w:lineRule="auto"/>
        <w:rPr>
          <w:rFonts w:ascii="仿宋" w:hAnsi="仿宋" w:eastAsia="仿宋" w:cs="仿宋"/>
          <w:sz w:val="31"/>
          <w:szCs w:val="31"/>
        </w:rPr>
        <w:sectPr>
          <w:footerReference r:id="rId9" w:type="default"/>
          <w:pgSz w:w="11906" w:h="16839"/>
          <w:pgMar w:top="1431" w:right="1473" w:bottom="1177" w:left="1606" w:header="0" w:footer="1012" w:gutter="0"/>
          <w:cols w:space="720" w:num="1"/>
        </w:sectPr>
      </w:pPr>
    </w:p>
    <w:p w14:paraId="509A74CE">
      <w:pPr>
        <w:pStyle w:val="3"/>
        <w:spacing w:line="309" w:lineRule="auto"/>
      </w:pPr>
    </w:p>
    <w:p w14:paraId="0B11C385">
      <w:pPr>
        <w:pStyle w:val="3"/>
        <w:spacing w:line="310" w:lineRule="auto"/>
      </w:pPr>
    </w:p>
    <w:p w14:paraId="0389C843">
      <w:pPr>
        <w:widowControl w:val="0"/>
        <w:kinsoku/>
        <w:autoSpaceDE/>
        <w:autoSpaceDN/>
        <w:adjustRightInd/>
        <w:snapToGrid/>
        <w:spacing w:line="700" w:lineRule="exact"/>
        <w:ind w:left="720" w:hanging="720" w:hangingChars="200"/>
        <w:jc w:val="center"/>
        <w:textAlignment w:val="auto"/>
        <w:rPr>
          <w:rFonts w:hint="eastAsia" w:ascii="方正小标宋简体" w:hAnsi="宋体" w:eastAsia="方正小标宋简体" w:cstheme="minorBidi"/>
          <w:snapToGrid/>
          <w:kern w:val="2"/>
          <w:sz w:val="36"/>
          <w:szCs w:val="36"/>
          <w:lang w:eastAsia="zh-CN"/>
        </w:rPr>
      </w:pPr>
      <w:r>
        <w:rPr>
          <w:rFonts w:hint="eastAsia" w:ascii="方正小标宋简体" w:hAnsi="宋体" w:eastAsia="方正小标宋简体" w:cstheme="minorBidi"/>
          <w:snapToGrid/>
          <w:kern w:val="2"/>
          <w:sz w:val="36"/>
          <w:szCs w:val="36"/>
          <w:lang w:eastAsia="zh-CN"/>
        </w:rPr>
        <w:t>三 各类专项课题指南</w:t>
      </w:r>
    </w:p>
    <w:p w14:paraId="2F11B579">
      <w:pPr>
        <w:pStyle w:val="3"/>
        <w:spacing w:line="322" w:lineRule="auto"/>
      </w:pPr>
    </w:p>
    <w:p w14:paraId="02EE69AE">
      <w:pPr>
        <w:pStyle w:val="3"/>
        <w:spacing w:line="323" w:lineRule="auto"/>
      </w:pPr>
    </w:p>
    <w:p w14:paraId="5236BB8E">
      <w:pPr>
        <w:spacing w:before="101" w:line="318" w:lineRule="auto"/>
        <w:ind w:right="135" w:firstLine="642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4"/>
          <w:sz w:val="31"/>
          <w:szCs w:val="31"/>
        </w:rPr>
        <w:t>本专项课题重点项目原则上应该结合以下选题，选择不同角</w:t>
      </w:r>
      <w:r>
        <w:rPr>
          <w:rFonts w:ascii="仿宋" w:hAnsi="仿宋" w:eastAsia="仿宋" w:cs="仿宋"/>
          <w:spacing w:val="1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8"/>
          <w:sz w:val="31"/>
          <w:szCs w:val="31"/>
        </w:rPr>
        <w:t>度进行申报。一般项目可参考确定选题。</w:t>
      </w:r>
    </w:p>
    <w:p w14:paraId="61D3E3EE">
      <w:pPr>
        <w:spacing w:before="52" w:line="227" w:lineRule="auto"/>
        <w:jc w:val="right"/>
        <w:outlineLvl w:val="2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b/>
          <w:bCs/>
          <w:spacing w:val="-6"/>
          <w:sz w:val="31"/>
          <w:szCs w:val="31"/>
        </w:rPr>
        <w:t>（一）教育数字化专项课题（学会教育数字化分会支持设立）</w:t>
      </w:r>
    </w:p>
    <w:p w14:paraId="40068E03">
      <w:pPr>
        <w:spacing w:before="179" w:line="323" w:lineRule="auto"/>
        <w:ind w:left="1" w:right="135" w:firstLine="653"/>
        <w:jc w:val="both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4"/>
          <w:sz w:val="31"/>
          <w:szCs w:val="31"/>
        </w:rPr>
        <w:t>1.教育数字化转型与促进教育公平研究，包括通过教育数字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5"/>
          <w:sz w:val="31"/>
          <w:szCs w:val="31"/>
        </w:rPr>
        <w:t>化转型缩小区域教育差距的策略研究，数字化手段促进教育资源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6"/>
          <w:sz w:val="31"/>
          <w:szCs w:val="31"/>
        </w:rPr>
        <w:t>共享的路径探索</w:t>
      </w:r>
    </w:p>
    <w:p w14:paraId="7193911C">
      <w:pPr>
        <w:spacing w:before="51" w:line="323" w:lineRule="auto"/>
        <w:ind w:right="132" w:firstLine="634"/>
        <w:jc w:val="both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5"/>
          <w:sz w:val="31"/>
          <w:szCs w:val="31"/>
        </w:rPr>
        <w:t>2.数字化学习资源的开发与利用研究，包括数</w:t>
      </w:r>
      <w:r>
        <w:rPr>
          <w:rFonts w:ascii="仿宋" w:hAnsi="仿宋" w:eastAsia="仿宋" w:cs="仿宋"/>
          <w:spacing w:val="4"/>
          <w:sz w:val="31"/>
          <w:szCs w:val="31"/>
        </w:rPr>
        <w:t>字化学习资源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5"/>
          <w:sz w:val="31"/>
          <w:szCs w:val="31"/>
        </w:rPr>
        <w:t>开发与优化策略研究，数字化学习资源在高等教育中的应用场景</w:t>
      </w:r>
      <w:r>
        <w:rPr>
          <w:rFonts w:ascii="仿宋" w:hAnsi="仿宋" w:eastAsia="仿宋" w:cs="仿宋"/>
          <w:spacing w:val="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4"/>
          <w:sz w:val="31"/>
          <w:szCs w:val="31"/>
        </w:rPr>
        <w:t>分析研究</w:t>
      </w:r>
    </w:p>
    <w:p w14:paraId="12879B3A">
      <w:pPr>
        <w:spacing w:before="54" w:line="323" w:lineRule="auto"/>
        <w:ind w:left="10" w:right="132" w:firstLine="627"/>
        <w:jc w:val="both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4"/>
          <w:sz w:val="31"/>
          <w:szCs w:val="31"/>
        </w:rPr>
        <w:t>3.数字化时代的教育教学模式创新研究，包括高等教育中的</w:t>
      </w:r>
      <w:r>
        <w:rPr>
          <w:rFonts w:ascii="仿宋" w:hAnsi="仿宋" w:eastAsia="仿宋" w:cs="仿宋"/>
          <w:spacing w:val="16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5"/>
          <w:sz w:val="31"/>
          <w:szCs w:val="31"/>
        </w:rPr>
        <w:t>线上线下融合教学模式研究与实践研究，个性化</w:t>
      </w:r>
      <w:r>
        <w:rPr>
          <w:rFonts w:ascii="仿宋" w:hAnsi="仿宋" w:eastAsia="仿宋" w:cs="仿宋"/>
          <w:spacing w:val="4"/>
          <w:sz w:val="31"/>
          <w:szCs w:val="31"/>
        </w:rPr>
        <w:t>、智能化教学在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7"/>
          <w:sz w:val="31"/>
          <w:szCs w:val="31"/>
        </w:rPr>
        <w:t>高等教育中的应用探索研究</w:t>
      </w:r>
    </w:p>
    <w:p w14:paraId="4FA555EA">
      <w:pPr>
        <w:spacing w:before="53" w:line="322" w:lineRule="auto"/>
        <w:ind w:left="1" w:right="132" w:firstLine="628"/>
        <w:jc w:val="both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5"/>
          <w:sz w:val="31"/>
          <w:szCs w:val="31"/>
        </w:rPr>
        <w:t>4.数字化评估与反馈系统在教育中的应用研究，包括</w:t>
      </w:r>
      <w:r>
        <w:rPr>
          <w:rFonts w:ascii="仿宋" w:hAnsi="仿宋" w:eastAsia="仿宋" w:cs="仿宋"/>
          <w:spacing w:val="4"/>
          <w:sz w:val="31"/>
          <w:szCs w:val="31"/>
        </w:rPr>
        <w:t>数字化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5"/>
          <w:sz w:val="31"/>
          <w:szCs w:val="31"/>
        </w:rPr>
        <w:t>评估与反馈系统在高等教育中的构建与应用研究，数字化评估系</w:t>
      </w:r>
      <w:r>
        <w:rPr>
          <w:rFonts w:ascii="仿宋" w:hAnsi="仿宋" w:eastAsia="仿宋" w:cs="仿宋"/>
          <w:spacing w:val="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8"/>
          <w:sz w:val="31"/>
          <w:szCs w:val="31"/>
        </w:rPr>
        <w:t>统在教育质量提升中的作用分析研究</w:t>
      </w:r>
    </w:p>
    <w:p w14:paraId="0DAED9B3">
      <w:pPr>
        <w:spacing w:before="55" w:line="323" w:lineRule="auto"/>
        <w:ind w:right="132" w:firstLine="637"/>
        <w:jc w:val="both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4"/>
          <w:sz w:val="31"/>
          <w:szCs w:val="31"/>
        </w:rPr>
        <w:t>5.数字化背景下的教师专业发展研究，包括数字化时代背景</w:t>
      </w:r>
      <w:r>
        <w:rPr>
          <w:rFonts w:ascii="仿宋" w:hAnsi="仿宋" w:eastAsia="仿宋" w:cs="仿宋"/>
          <w:spacing w:val="18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5"/>
          <w:sz w:val="31"/>
          <w:szCs w:val="31"/>
        </w:rPr>
        <w:t>下教师专业发展的新要求与策略研究，数字化教学技能在教师专</w:t>
      </w:r>
      <w:r>
        <w:rPr>
          <w:rFonts w:ascii="仿宋" w:hAnsi="仿宋" w:eastAsia="仿宋" w:cs="仿宋"/>
          <w:spacing w:val="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8"/>
          <w:sz w:val="31"/>
          <w:szCs w:val="31"/>
        </w:rPr>
        <w:t>业发展中的地位与作用研究</w:t>
      </w:r>
    </w:p>
    <w:p w14:paraId="07B4CC39">
      <w:pPr>
        <w:spacing w:before="56" w:line="317" w:lineRule="auto"/>
        <w:ind w:right="135" w:firstLine="633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3"/>
          <w:sz w:val="31"/>
          <w:szCs w:val="31"/>
        </w:rPr>
        <w:t>6.人工智能赋能教育教学研究，包括</w:t>
      </w:r>
      <w:r>
        <w:rPr>
          <w:rFonts w:ascii="仿宋" w:hAnsi="仿宋" w:eastAsia="仿宋" w:cs="仿宋"/>
          <w:sz w:val="31"/>
          <w:szCs w:val="31"/>
        </w:rPr>
        <w:t>AI</w:t>
      </w:r>
      <w:r>
        <w:rPr>
          <w:rFonts w:ascii="仿宋" w:hAnsi="仿宋" w:eastAsia="仿宋" w:cs="仿宋"/>
          <w:spacing w:val="-4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3"/>
          <w:sz w:val="31"/>
          <w:szCs w:val="31"/>
        </w:rPr>
        <w:t>赋能课程建设的应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3"/>
          <w:sz w:val="31"/>
          <w:szCs w:val="31"/>
        </w:rPr>
        <w:t>用研究，</w:t>
      </w:r>
      <w:r>
        <w:rPr>
          <w:rFonts w:ascii="仿宋" w:hAnsi="仿宋" w:eastAsia="仿宋" w:cs="仿宋"/>
          <w:sz w:val="31"/>
          <w:szCs w:val="31"/>
        </w:rPr>
        <w:t>AI</w:t>
      </w:r>
      <w:r>
        <w:rPr>
          <w:rFonts w:ascii="仿宋" w:hAnsi="仿宋" w:eastAsia="仿宋" w:cs="仿宋"/>
          <w:spacing w:val="-4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3"/>
          <w:sz w:val="31"/>
          <w:szCs w:val="31"/>
        </w:rPr>
        <w:t>技术在高等教育个性化学习中的应用研究，智能辅</w:t>
      </w:r>
    </w:p>
    <w:p w14:paraId="0583A2A1">
      <w:pPr>
        <w:spacing w:line="317" w:lineRule="auto"/>
        <w:rPr>
          <w:rFonts w:ascii="仿宋" w:hAnsi="仿宋" w:eastAsia="仿宋" w:cs="仿宋"/>
          <w:sz w:val="31"/>
          <w:szCs w:val="31"/>
        </w:rPr>
        <w:sectPr>
          <w:footerReference r:id="rId10" w:type="default"/>
          <w:pgSz w:w="11906" w:h="16839"/>
          <w:pgMar w:top="1431" w:right="1340" w:bottom="1175" w:left="1607" w:header="0" w:footer="1012" w:gutter="0"/>
          <w:cols w:space="720" w:num="1"/>
        </w:sectPr>
      </w:pPr>
    </w:p>
    <w:p w14:paraId="357FE94F">
      <w:pPr>
        <w:pStyle w:val="3"/>
        <w:spacing w:line="245" w:lineRule="auto"/>
      </w:pPr>
    </w:p>
    <w:p w14:paraId="07D48DDF">
      <w:pPr>
        <w:pStyle w:val="3"/>
        <w:spacing w:line="245" w:lineRule="auto"/>
      </w:pPr>
    </w:p>
    <w:p w14:paraId="614CB658">
      <w:pPr>
        <w:pStyle w:val="3"/>
        <w:spacing w:line="246" w:lineRule="auto"/>
      </w:pPr>
    </w:p>
    <w:p w14:paraId="407FD816">
      <w:pPr>
        <w:spacing w:before="101" w:line="317" w:lineRule="auto"/>
        <w:ind w:left="8" w:hanging="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3"/>
          <w:sz w:val="31"/>
          <w:szCs w:val="31"/>
        </w:rPr>
        <w:t>助教学系统在高等教育中的开发与应用探索研究，</w:t>
      </w:r>
      <w:r>
        <w:rPr>
          <w:rFonts w:ascii="仿宋" w:hAnsi="仿宋" w:eastAsia="仿宋" w:cs="仿宋"/>
          <w:sz w:val="31"/>
          <w:szCs w:val="31"/>
        </w:rPr>
        <w:t>AI</w:t>
      </w:r>
      <w:r>
        <w:rPr>
          <w:rFonts w:ascii="仿宋" w:hAnsi="仿宋" w:eastAsia="仿宋" w:cs="仿宋"/>
          <w:spacing w:val="-4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3"/>
          <w:sz w:val="31"/>
          <w:szCs w:val="31"/>
        </w:rPr>
        <w:t>驱动的教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7"/>
          <w:sz w:val="31"/>
          <w:szCs w:val="31"/>
        </w:rPr>
        <w:t>育教学数据分析与决策支持研究</w:t>
      </w:r>
    </w:p>
    <w:p w14:paraId="33F3831B">
      <w:pPr>
        <w:spacing w:before="51" w:line="323" w:lineRule="auto"/>
        <w:ind w:left="2" w:firstLine="637"/>
        <w:jc w:val="both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4"/>
          <w:sz w:val="31"/>
          <w:szCs w:val="31"/>
        </w:rPr>
        <w:t>7.数智化教学环境建设研究，包括智慧教室的设计与实现及</w:t>
      </w:r>
      <w:r>
        <w:rPr>
          <w:rFonts w:ascii="仿宋" w:hAnsi="仿宋" w:eastAsia="仿宋" w:cs="仿宋"/>
          <w:spacing w:val="1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5"/>
          <w:sz w:val="31"/>
          <w:szCs w:val="31"/>
        </w:rPr>
        <w:t>其对教学效果的影响研究，数智化教学资源平台的构建与共享机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9"/>
          <w:sz w:val="31"/>
          <w:szCs w:val="31"/>
        </w:rPr>
        <w:t>制研究，数智化教学环境的评估指标体系与持续改进策略研究</w:t>
      </w:r>
    </w:p>
    <w:p w14:paraId="2C989888">
      <w:pPr>
        <w:spacing w:line="323" w:lineRule="auto"/>
        <w:rPr>
          <w:rFonts w:ascii="仿宋" w:hAnsi="仿宋" w:eastAsia="仿宋" w:cs="仿宋"/>
          <w:sz w:val="31"/>
          <w:szCs w:val="31"/>
        </w:rPr>
        <w:sectPr>
          <w:footerReference r:id="rId11" w:type="default"/>
          <w:pgSz w:w="11906" w:h="16839"/>
          <w:pgMar w:top="1431" w:right="1475" w:bottom="1177" w:left="1606" w:header="0" w:footer="1012" w:gutter="0"/>
          <w:cols w:space="720" w:num="1"/>
        </w:sectPr>
      </w:pPr>
    </w:p>
    <w:p w14:paraId="4662585F">
      <w:pPr>
        <w:pStyle w:val="3"/>
        <w:spacing w:line="245" w:lineRule="auto"/>
      </w:pPr>
    </w:p>
    <w:p w14:paraId="447439C6">
      <w:pPr>
        <w:pStyle w:val="3"/>
        <w:spacing w:line="245" w:lineRule="auto"/>
      </w:pPr>
    </w:p>
    <w:p w14:paraId="701C99A1">
      <w:pPr>
        <w:pStyle w:val="3"/>
        <w:spacing w:line="246" w:lineRule="auto"/>
      </w:pPr>
    </w:p>
    <w:p w14:paraId="65B19BF4">
      <w:pPr>
        <w:spacing w:before="101" w:line="227" w:lineRule="auto"/>
        <w:ind w:left="646"/>
        <w:outlineLvl w:val="2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b/>
          <w:bCs/>
          <w:spacing w:val="6"/>
          <w:sz w:val="31"/>
          <w:szCs w:val="31"/>
        </w:rPr>
        <w:t>（二）智慧教学专项课题（超星集团支持设立）</w:t>
      </w:r>
    </w:p>
    <w:p w14:paraId="24A897EE">
      <w:pPr>
        <w:spacing w:before="179" w:line="317" w:lineRule="auto"/>
        <w:ind w:left="19" w:right="2" w:firstLine="635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4"/>
          <w:sz w:val="31"/>
          <w:szCs w:val="31"/>
        </w:rPr>
        <w:t>1.基于超星一平三端、朗润教学与管理一体化等数字化系统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4"/>
          <w:sz w:val="31"/>
          <w:szCs w:val="31"/>
        </w:rPr>
        <w:t>的应用与实践研究</w:t>
      </w:r>
    </w:p>
    <w:p w14:paraId="1889824E">
      <w:pPr>
        <w:spacing w:before="55" w:line="318" w:lineRule="auto"/>
        <w:ind w:firstLine="635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5"/>
          <w:sz w:val="31"/>
          <w:szCs w:val="31"/>
        </w:rPr>
        <w:t>2.基于虚拟教研室、知识图谱、专业达成度的</w:t>
      </w:r>
      <w:r>
        <w:rPr>
          <w:rFonts w:ascii="仿宋" w:hAnsi="仿宋" w:eastAsia="仿宋" w:cs="仿宋"/>
          <w:spacing w:val="4"/>
          <w:sz w:val="31"/>
          <w:szCs w:val="31"/>
        </w:rPr>
        <w:t>系统研究与实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3"/>
          <w:sz w:val="31"/>
          <w:szCs w:val="31"/>
        </w:rPr>
        <w:t>践研究</w:t>
      </w:r>
    </w:p>
    <w:p w14:paraId="303794A5">
      <w:pPr>
        <w:spacing w:before="49" w:line="319" w:lineRule="auto"/>
        <w:ind w:left="630" w:right="1807" w:firstLine="7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8"/>
          <w:sz w:val="31"/>
          <w:szCs w:val="31"/>
        </w:rPr>
        <w:t>3.数字化转型下新技术赋能教育评价实践研究</w:t>
      </w:r>
      <w:r>
        <w:rPr>
          <w:rFonts w:ascii="仿宋" w:hAnsi="仿宋" w:eastAsia="仿宋" w:cs="仿宋"/>
          <w:spacing w:val="1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"/>
          <w:sz w:val="31"/>
          <w:szCs w:val="31"/>
        </w:rPr>
        <w:t>4.“</w:t>
      </w:r>
      <w:r>
        <w:rPr>
          <w:rFonts w:ascii="仿宋" w:hAnsi="仿宋" w:eastAsia="仿宋" w:cs="仿宋"/>
          <w:spacing w:val="-8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"/>
          <w:sz w:val="31"/>
          <w:szCs w:val="31"/>
        </w:rPr>
        <w:t>四新学科</w:t>
      </w:r>
      <w:r>
        <w:rPr>
          <w:rFonts w:ascii="仿宋" w:hAnsi="仿宋" w:eastAsia="仿宋" w:cs="仿宋"/>
          <w:spacing w:val="-11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"/>
          <w:sz w:val="31"/>
          <w:szCs w:val="31"/>
        </w:rPr>
        <w:t>”混合式教学实践研究</w:t>
      </w:r>
    </w:p>
    <w:p w14:paraId="79922B03">
      <w:pPr>
        <w:spacing w:before="50" w:line="226" w:lineRule="auto"/>
        <w:ind w:left="638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8"/>
          <w:sz w:val="31"/>
          <w:szCs w:val="31"/>
        </w:rPr>
        <w:t>5.尔雅通识课程混合式教学研究</w:t>
      </w:r>
    </w:p>
    <w:p w14:paraId="76E0AE27">
      <w:pPr>
        <w:spacing w:before="180" w:line="318" w:lineRule="auto"/>
        <w:ind w:left="639" w:right="847" w:hanging="5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9"/>
          <w:sz w:val="31"/>
          <w:szCs w:val="31"/>
        </w:rPr>
        <w:t>6.基于超星教学大数据系统对教学质量评估评</w:t>
      </w:r>
      <w:r>
        <w:rPr>
          <w:rFonts w:ascii="仿宋" w:hAnsi="仿宋" w:eastAsia="仿宋" w:cs="仿宋"/>
          <w:spacing w:val="8"/>
          <w:sz w:val="31"/>
          <w:szCs w:val="31"/>
        </w:rPr>
        <w:t>价研究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5"/>
          <w:sz w:val="31"/>
          <w:szCs w:val="31"/>
        </w:rPr>
        <w:t>7.“双创</w:t>
      </w:r>
      <w:r>
        <w:rPr>
          <w:rFonts w:ascii="仿宋" w:hAnsi="仿宋" w:eastAsia="仿宋" w:cs="仿宋"/>
          <w:spacing w:val="-11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5"/>
          <w:sz w:val="31"/>
          <w:szCs w:val="31"/>
        </w:rPr>
        <w:t>”教育课程和“双创</w:t>
      </w:r>
      <w:r>
        <w:rPr>
          <w:rFonts w:ascii="仿宋" w:hAnsi="仿宋" w:eastAsia="仿宋" w:cs="仿宋"/>
          <w:spacing w:val="-11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5"/>
          <w:sz w:val="31"/>
          <w:szCs w:val="31"/>
        </w:rPr>
        <w:t>”师资队伍建设</w:t>
      </w:r>
      <w:r>
        <w:rPr>
          <w:rFonts w:ascii="仿宋" w:hAnsi="仿宋" w:eastAsia="仿宋" w:cs="仿宋"/>
          <w:spacing w:val="4"/>
          <w:sz w:val="31"/>
          <w:szCs w:val="31"/>
        </w:rPr>
        <w:t>研究</w:t>
      </w:r>
    </w:p>
    <w:p w14:paraId="0D3B3AC3">
      <w:pPr>
        <w:spacing w:before="53" w:line="317" w:lineRule="auto"/>
        <w:ind w:left="633" w:right="2448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8"/>
          <w:sz w:val="31"/>
          <w:szCs w:val="31"/>
        </w:rPr>
        <w:t>8.职业教育提质培优一体化平台建设实践</w:t>
      </w:r>
      <w:r>
        <w:rPr>
          <w:rFonts w:ascii="仿宋" w:hAnsi="仿宋" w:eastAsia="仿宋" w:cs="仿宋"/>
          <w:spacing w:val="1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8"/>
          <w:sz w:val="31"/>
          <w:szCs w:val="31"/>
        </w:rPr>
        <w:t>9.教学资源库建设与实践研究</w:t>
      </w:r>
    </w:p>
    <w:p w14:paraId="424B0090">
      <w:pPr>
        <w:spacing w:before="56" w:line="317" w:lineRule="auto"/>
        <w:ind w:left="655" w:right="2606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7"/>
          <w:sz w:val="31"/>
          <w:szCs w:val="31"/>
        </w:rPr>
        <w:t>10.继续教育高质量发展研究与实践研究</w:t>
      </w:r>
      <w:r>
        <w:rPr>
          <w:rFonts w:ascii="仿宋" w:hAnsi="仿宋" w:eastAsia="仿宋" w:cs="仿宋"/>
          <w:spacing w:val="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6"/>
          <w:sz w:val="31"/>
          <w:szCs w:val="31"/>
        </w:rPr>
        <w:t>11.基于智慧图书馆研究与实践研究</w:t>
      </w:r>
    </w:p>
    <w:p w14:paraId="48493FCE">
      <w:pPr>
        <w:spacing w:before="53" w:line="227" w:lineRule="auto"/>
        <w:ind w:left="655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8"/>
          <w:sz w:val="31"/>
          <w:szCs w:val="31"/>
        </w:rPr>
        <w:t>12.信息时代下图书馆开展阅读推广研究与</w:t>
      </w:r>
      <w:r>
        <w:rPr>
          <w:rFonts w:ascii="仿宋" w:hAnsi="仿宋" w:eastAsia="仿宋" w:cs="仿宋"/>
          <w:spacing w:val="7"/>
          <w:sz w:val="31"/>
          <w:szCs w:val="31"/>
        </w:rPr>
        <w:t>实践研究</w:t>
      </w:r>
    </w:p>
    <w:p w14:paraId="7A2E863B">
      <w:pPr>
        <w:spacing w:before="180" w:line="317" w:lineRule="auto"/>
        <w:ind w:left="655" w:right="1646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7"/>
          <w:sz w:val="31"/>
          <w:szCs w:val="31"/>
        </w:rPr>
        <w:t>13.新时代高校思政教育高质量发展研究与实践</w:t>
      </w:r>
      <w:r>
        <w:rPr>
          <w:rFonts w:ascii="仿宋" w:hAnsi="仿宋" w:eastAsia="仿宋" w:cs="仿宋"/>
          <w:spacing w:val="1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7"/>
          <w:sz w:val="31"/>
          <w:szCs w:val="31"/>
        </w:rPr>
        <w:t>14.信息技术助力教师专业发展的研究与实践</w:t>
      </w:r>
    </w:p>
    <w:p w14:paraId="3CD448EF">
      <w:pPr>
        <w:spacing w:before="54" w:line="227" w:lineRule="auto"/>
        <w:ind w:left="655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6"/>
          <w:sz w:val="31"/>
          <w:szCs w:val="31"/>
        </w:rPr>
        <w:t>15.人工智能影响教育教学研究</w:t>
      </w:r>
    </w:p>
    <w:p w14:paraId="5F03EB0B">
      <w:pPr>
        <w:spacing w:line="227" w:lineRule="auto"/>
        <w:rPr>
          <w:rFonts w:ascii="仿宋" w:hAnsi="仿宋" w:eastAsia="仿宋" w:cs="仿宋"/>
          <w:sz w:val="31"/>
          <w:szCs w:val="31"/>
        </w:rPr>
        <w:sectPr>
          <w:footerReference r:id="rId12" w:type="default"/>
          <w:pgSz w:w="11906" w:h="16839"/>
          <w:pgMar w:top="1431" w:right="1473" w:bottom="1177" w:left="1606" w:header="0" w:footer="1012" w:gutter="0"/>
          <w:cols w:space="720" w:num="1"/>
        </w:sectPr>
      </w:pPr>
    </w:p>
    <w:p w14:paraId="2A59719A">
      <w:pPr>
        <w:pStyle w:val="3"/>
        <w:spacing w:line="245" w:lineRule="auto"/>
      </w:pPr>
    </w:p>
    <w:p w14:paraId="6A6DDAD7">
      <w:pPr>
        <w:pStyle w:val="3"/>
        <w:spacing w:line="245" w:lineRule="auto"/>
      </w:pPr>
    </w:p>
    <w:p w14:paraId="40AE6463">
      <w:pPr>
        <w:pStyle w:val="3"/>
        <w:spacing w:line="246" w:lineRule="auto"/>
      </w:pPr>
    </w:p>
    <w:p w14:paraId="100AC5CA">
      <w:pPr>
        <w:spacing w:before="101" w:line="227" w:lineRule="auto"/>
        <w:jc w:val="right"/>
        <w:outlineLvl w:val="2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b/>
          <w:bCs/>
          <w:spacing w:val="6"/>
          <w:sz w:val="31"/>
          <w:szCs w:val="31"/>
        </w:rPr>
        <w:t>（三）外语教育专项课题（上海外语教育出版社支</w:t>
      </w:r>
      <w:r>
        <w:rPr>
          <w:rFonts w:ascii="仿宋" w:hAnsi="仿宋" w:eastAsia="仿宋" w:cs="仿宋"/>
          <w:b/>
          <w:bCs/>
          <w:spacing w:val="5"/>
          <w:sz w:val="31"/>
          <w:szCs w:val="31"/>
        </w:rPr>
        <w:t>持设立）</w:t>
      </w:r>
    </w:p>
    <w:p w14:paraId="27C6BA8C">
      <w:pPr>
        <w:spacing w:before="177" w:line="228" w:lineRule="auto"/>
        <w:ind w:left="476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6"/>
          <w:sz w:val="31"/>
          <w:szCs w:val="31"/>
        </w:rPr>
        <w:t>1.江西特色文化传播研究</w:t>
      </w:r>
    </w:p>
    <w:p w14:paraId="4EE6DB3C">
      <w:pPr>
        <w:spacing w:before="176" w:line="318" w:lineRule="auto"/>
        <w:ind w:left="458" w:right="2566" w:hanging="2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8"/>
          <w:sz w:val="31"/>
          <w:szCs w:val="31"/>
        </w:rPr>
        <w:t>2.新质生产力驱动下的外语教学改革研究</w:t>
      </w:r>
      <w:r>
        <w:rPr>
          <w:rFonts w:ascii="仿宋" w:hAnsi="仿宋" w:eastAsia="仿宋" w:cs="仿宋"/>
          <w:spacing w:val="9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8"/>
          <w:sz w:val="31"/>
          <w:szCs w:val="31"/>
        </w:rPr>
        <w:t>3.新时代背景下卓越外语人才培养研究</w:t>
      </w:r>
    </w:p>
    <w:p w14:paraId="7E4A94EE">
      <w:pPr>
        <w:spacing w:before="52" w:line="229" w:lineRule="auto"/>
        <w:ind w:left="451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7"/>
          <w:sz w:val="31"/>
          <w:szCs w:val="31"/>
        </w:rPr>
        <w:t>4.区域与国别研究</w:t>
      </w:r>
    </w:p>
    <w:p w14:paraId="33AE59C0">
      <w:pPr>
        <w:spacing w:before="175" w:line="227" w:lineRule="auto"/>
        <w:ind w:left="458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7"/>
          <w:sz w:val="31"/>
          <w:szCs w:val="31"/>
        </w:rPr>
        <w:t>5.外语教学中的课程思政研究</w:t>
      </w:r>
    </w:p>
    <w:p w14:paraId="197F77B4">
      <w:pPr>
        <w:spacing w:before="180" w:line="228" w:lineRule="auto"/>
        <w:ind w:left="45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8"/>
          <w:sz w:val="31"/>
          <w:szCs w:val="31"/>
        </w:rPr>
        <w:t>6.大学外语多元化评价体系建设研究</w:t>
      </w:r>
    </w:p>
    <w:p w14:paraId="69C2642D">
      <w:pPr>
        <w:spacing w:before="178" w:line="317" w:lineRule="auto"/>
        <w:ind w:left="453" w:right="2885" w:firstLine="6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8"/>
          <w:sz w:val="31"/>
          <w:szCs w:val="31"/>
        </w:rPr>
        <w:t>7.外语类专业优化与课程提质路径研究</w:t>
      </w:r>
      <w:r>
        <w:rPr>
          <w:rFonts w:ascii="仿宋" w:hAnsi="仿宋" w:eastAsia="仿宋" w:cs="仿宋"/>
          <w:spacing w:val="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8"/>
          <w:sz w:val="31"/>
          <w:szCs w:val="31"/>
        </w:rPr>
        <w:t>8.外语教学理论、方法与实践应用研究</w:t>
      </w:r>
    </w:p>
    <w:p w14:paraId="285881E2">
      <w:pPr>
        <w:spacing w:before="55" w:line="227" w:lineRule="auto"/>
        <w:ind w:left="453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8"/>
          <w:sz w:val="31"/>
          <w:szCs w:val="31"/>
        </w:rPr>
        <w:t>9.外语教育数据收集、分析与课堂决策研究</w:t>
      </w:r>
    </w:p>
    <w:p w14:paraId="255CBF62">
      <w:pPr>
        <w:spacing w:before="179" w:line="317" w:lineRule="auto"/>
        <w:ind w:left="476" w:right="1445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7"/>
          <w:sz w:val="31"/>
          <w:szCs w:val="31"/>
        </w:rPr>
        <w:t>10.混合式课程建设与外语人才创新培养模式研究</w:t>
      </w:r>
      <w:r>
        <w:rPr>
          <w:rFonts w:ascii="仿宋" w:hAnsi="仿宋" w:eastAsia="仿宋" w:cs="仿宋"/>
          <w:spacing w:val="16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7"/>
          <w:sz w:val="31"/>
          <w:szCs w:val="31"/>
        </w:rPr>
        <w:t>11.数字教材的研发、设计与应用研究</w:t>
      </w:r>
    </w:p>
    <w:p w14:paraId="30539D68">
      <w:pPr>
        <w:spacing w:before="56" w:line="316" w:lineRule="auto"/>
        <w:ind w:left="476" w:right="112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8"/>
          <w:sz w:val="31"/>
          <w:szCs w:val="31"/>
        </w:rPr>
        <w:t>12.数字化环境下外语课堂教学设计与评价</w:t>
      </w:r>
      <w:r>
        <w:rPr>
          <w:rFonts w:ascii="仿宋" w:hAnsi="仿宋" w:eastAsia="仿宋" w:cs="仿宋"/>
          <w:spacing w:val="7"/>
          <w:sz w:val="31"/>
          <w:szCs w:val="31"/>
        </w:rPr>
        <w:t>模式研究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7"/>
          <w:sz w:val="31"/>
          <w:szCs w:val="31"/>
        </w:rPr>
        <w:t>13.基于语料库的高校外语教学改革研究</w:t>
      </w:r>
    </w:p>
    <w:p w14:paraId="60EE1C03">
      <w:pPr>
        <w:spacing w:line="316" w:lineRule="auto"/>
        <w:rPr>
          <w:rFonts w:ascii="仿宋" w:hAnsi="仿宋" w:eastAsia="仿宋" w:cs="仿宋"/>
          <w:sz w:val="31"/>
          <w:szCs w:val="31"/>
        </w:rPr>
        <w:sectPr>
          <w:footerReference r:id="rId13" w:type="default"/>
          <w:pgSz w:w="11906" w:h="16839"/>
          <w:pgMar w:top="1431" w:right="1354" w:bottom="1175" w:left="1785" w:header="0" w:footer="1012" w:gutter="0"/>
          <w:cols w:space="720" w:num="1"/>
        </w:sectPr>
      </w:pPr>
    </w:p>
    <w:p w14:paraId="340C0053">
      <w:pPr>
        <w:pStyle w:val="3"/>
        <w:spacing w:line="245" w:lineRule="auto"/>
      </w:pPr>
    </w:p>
    <w:p w14:paraId="0EF4D571">
      <w:pPr>
        <w:pStyle w:val="3"/>
        <w:spacing w:line="245" w:lineRule="auto"/>
      </w:pPr>
    </w:p>
    <w:p w14:paraId="44546168">
      <w:pPr>
        <w:pStyle w:val="3"/>
        <w:spacing w:line="246" w:lineRule="auto"/>
      </w:pPr>
    </w:p>
    <w:p w14:paraId="61488235">
      <w:pPr>
        <w:spacing w:before="101" w:line="227" w:lineRule="auto"/>
        <w:ind w:left="665"/>
        <w:outlineLvl w:val="2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b/>
          <w:bCs/>
          <w:spacing w:val="4"/>
          <w:sz w:val="31"/>
          <w:szCs w:val="31"/>
        </w:rPr>
        <w:t>（</w:t>
      </w:r>
      <w:r>
        <w:rPr>
          <w:rFonts w:ascii="仿宋" w:hAnsi="仿宋" w:eastAsia="仿宋" w:cs="仿宋"/>
          <w:spacing w:val="-92"/>
          <w:sz w:val="31"/>
          <w:szCs w:val="31"/>
        </w:rPr>
        <w:t xml:space="preserve"> </w:t>
      </w:r>
      <w:r>
        <w:rPr>
          <w:rFonts w:ascii="仿宋" w:hAnsi="仿宋" w:eastAsia="仿宋" w:cs="仿宋"/>
          <w:b/>
          <w:bCs/>
          <w:spacing w:val="4"/>
          <w:sz w:val="31"/>
          <w:szCs w:val="31"/>
        </w:rPr>
        <w:t>四）智慧平安校园建设专项课题（泰豪集团支持</w:t>
      </w:r>
      <w:r>
        <w:rPr>
          <w:rFonts w:ascii="仿宋" w:hAnsi="仿宋" w:eastAsia="仿宋" w:cs="仿宋"/>
          <w:b/>
          <w:bCs/>
          <w:spacing w:val="3"/>
          <w:sz w:val="31"/>
          <w:szCs w:val="31"/>
        </w:rPr>
        <w:t>设立）</w:t>
      </w:r>
    </w:p>
    <w:p w14:paraId="476B304F">
      <w:pPr>
        <w:spacing w:before="179" w:line="325" w:lineRule="auto"/>
        <w:ind w:left="18" w:right="250" w:firstLine="655"/>
        <w:jc w:val="both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2"/>
          <w:sz w:val="31"/>
          <w:szCs w:val="31"/>
        </w:rPr>
        <w:t>总的方向是“基于</w:t>
      </w:r>
      <w:r>
        <w:rPr>
          <w:rFonts w:ascii="仿宋" w:hAnsi="仿宋" w:eastAsia="仿宋" w:cs="仿宋"/>
          <w:sz w:val="31"/>
          <w:szCs w:val="31"/>
        </w:rPr>
        <w:t>AI</w:t>
      </w:r>
      <w:r>
        <w:rPr>
          <w:rFonts w:ascii="仿宋" w:hAnsi="仿宋" w:eastAsia="仿宋" w:cs="仿宋"/>
          <w:spacing w:val="-26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2"/>
          <w:sz w:val="31"/>
          <w:szCs w:val="31"/>
        </w:rPr>
        <w:t>的高校学生异常行为风险预警能力提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3"/>
          <w:sz w:val="31"/>
          <w:szCs w:val="31"/>
        </w:rPr>
        <w:t>升研究</w:t>
      </w:r>
      <w:r>
        <w:rPr>
          <w:rFonts w:ascii="仿宋" w:hAnsi="仿宋" w:eastAsia="仿宋" w:cs="仿宋"/>
          <w:spacing w:val="-97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3"/>
          <w:sz w:val="31"/>
          <w:szCs w:val="31"/>
        </w:rPr>
        <w:t>”，涵盖从理论研究到实际应用以及心理与行为关系的分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5"/>
          <w:sz w:val="31"/>
          <w:szCs w:val="31"/>
        </w:rPr>
        <w:t>析研究的不同层次，以期为高校学生异常行为的预警提供全面的</w:t>
      </w:r>
      <w:r>
        <w:rPr>
          <w:rFonts w:ascii="仿宋" w:hAnsi="仿宋" w:eastAsia="仿宋" w:cs="仿宋"/>
          <w:spacing w:val="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7"/>
          <w:sz w:val="31"/>
          <w:szCs w:val="31"/>
        </w:rPr>
        <w:t>研究框架和技术支持。具体包括：</w:t>
      </w:r>
    </w:p>
    <w:p w14:paraId="0A1CAA60">
      <w:pPr>
        <w:spacing w:before="54" w:line="229" w:lineRule="auto"/>
        <w:ind w:left="67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3"/>
          <w:sz w:val="31"/>
          <w:szCs w:val="31"/>
        </w:rPr>
        <w:t>1.基础研究方向：</w:t>
      </w:r>
    </w:p>
    <w:p w14:paraId="68A0F517">
      <w:pPr>
        <w:spacing w:before="177" w:line="298" w:lineRule="auto"/>
        <w:ind w:right="248" w:firstLine="665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7"/>
          <w:sz w:val="31"/>
          <w:szCs w:val="31"/>
        </w:rPr>
        <w:t>（1）高校学生异常行为的</w:t>
      </w:r>
      <w:r>
        <w:rPr>
          <w:rFonts w:ascii="仿宋" w:hAnsi="仿宋" w:eastAsia="仿宋" w:cs="仿宋"/>
          <w:sz w:val="31"/>
          <w:szCs w:val="31"/>
        </w:rPr>
        <w:t>AI</w:t>
      </w:r>
      <w:r>
        <w:rPr>
          <w:rFonts w:ascii="仿宋" w:hAnsi="仿宋" w:eastAsia="仿宋" w:cs="仿宋"/>
          <w:spacing w:val="-5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7"/>
          <w:sz w:val="31"/>
          <w:szCs w:val="31"/>
        </w:rPr>
        <w:t>模型构建与优化研究，主</w:t>
      </w:r>
      <w:r>
        <w:rPr>
          <w:rFonts w:ascii="仿宋" w:hAnsi="仿宋" w:eastAsia="仿宋" w:cs="仿宋"/>
          <w:spacing w:val="6"/>
          <w:sz w:val="31"/>
          <w:szCs w:val="31"/>
        </w:rPr>
        <w:t>要研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7"/>
          <w:sz w:val="31"/>
          <w:szCs w:val="31"/>
        </w:rPr>
        <w:t>究高校学生行为数据的特征提取，构建并优化异常行为识别的</w:t>
      </w:r>
      <w:r>
        <w:rPr>
          <w:rFonts w:ascii="仿宋" w:hAnsi="仿宋" w:eastAsia="仿宋" w:cs="仿宋"/>
          <w:spacing w:val="12"/>
          <w:sz w:val="31"/>
          <w:szCs w:val="31"/>
        </w:rPr>
        <w:t xml:space="preserve"> </w:t>
      </w:r>
      <w:r>
        <w:rPr>
          <w:rFonts w:ascii="仿宋" w:hAnsi="仿宋" w:eastAsia="仿宋" w:cs="仿宋"/>
          <w:sz w:val="31"/>
          <w:szCs w:val="31"/>
        </w:rPr>
        <w:t>AI</w:t>
      </w:r>
      <w:r>
        <w:rPr>
          <w:rFonts w:ascii="仿宋" w:hAnsi="仿宋" w:eastAsia="仿宋" w:cs="仿宋"/>
          <w:spacing w:val="-5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"/>
          <w:sz w:val="31"/>
          <w:szCs w:val="31"/>
        </w:rPr>
        <w:t>模型。</w:t>
      </w:r>
    </w:p>
    <w:p w14:paraId="7F500255">
      <w:pPr>
        <w:spacing w:before="177" w:line="298" w:lineRule="auto"/>
        <w:ind w:left="23" w:right="160" w:firstLine="641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2"/>
          <w:sz w:val="31"/>
          <w:szCs w:val="31"/>
        </w:rPr>
        <w:t>（2）深度学习在学生心理健康状态预测中的应用基础</w:t>
      </w:r>
      <w:r>
        <w:rPr>
          <w:rFonts w:ascii="仿宋" w:hAnsi="仿宋" w:eastAsia="仿宋" w:cs="仿宋"/>
          <w:spacing w:val="1"/>
          <w:sz w:val="31"/>
          <w:szCs w:val="31"/>
        </w:rPr>
        <w:t>研究，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6"/>
          <w:sz w:val="31"/>
          <w:szCs w:val="31"/>
        </w:rPr>
        <w:t>主要探讨深度学习算法在预测学生心理健康状态变化中的应用</w:t>
      </w:r>
      <w:r>
        <w:rPr>
          <w:rFonts w:ascii="仿宋" w:hAnsi="仿宋" w:eastAsia="仿宋" w:cs="仿宋"/>
          <w:spacing w:val="1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6"/>
          <w:sz w:val="31"/>
          <w:szCs w:val="31"/>
        </w:rPr>
        <w:t>潜力，优化相关算法。</w:t>
      </w:r>
    </w:p>
    <w:p w14:paraId="3F64802F">
      <w:pPr>
        <w:spacing w:before="181" w:line="297" w:lineRule="auto"/>
        <w:ind w:left="37" w:right="160" w:firstLine="627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0"/>
          <w:sz w:val="31"/>
          <w:szCs w:val="31"/>
        </w:rPr>
        <w:t>（3）多模态数据融合技术在学生异常行为识别中的理论研</w:t>
      </w:r>
      <w:r>
        <w:rPr>
          <w:rFonts w:ascii="仿宋" w:hAnsi="仿宋" w:eastAsia="仿宋" w:cs="仿宋"/>
          <w:spacing w:val="1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3"/>
          <w:sz w:val="31"/>
          <w:szCs w:val="31"/>
        </w:rPr>
        <w:t>究，主要研究如何将多模态数据（如视频、文</w:t>
      </w:r>
      <w:r>
        <w:rPr>
          <w:rFonts w:ascii="仿宋" w:hAnsi="仿宋" w:eastAsia="仿宋" w:cs="仿宋"/>
          <w:spacing w:val="-4"/>
          <w:sz w:val="31"/>
          <w:szCs w:val="31"/>
        </w:rPr>
        <w:t>本、音频等）融合，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6"/>
          <w:sz w:val="31"/>
          <w:szCs w:val="31"/>
        </w:rPr>
        <w:t>以提高异常行为识别的准确性。</w:t>
      </w:r>
    </w:p>
    <w:p w14:paraId="7596B4AC">
      <w:pPr>
        <w:spacing w:before="183" w:line="229" w:lineRule="auto"/>
        <w:ind w:left="65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5"/>
          <w:sz w:val="31"/>
          <w:szCs w:val="31"/>
        </w:rPr>
        <w:t>2.应用研究方向：</w:t>
      </w:r>
    </w:p>
    <w:p w14:paraId="1F66EAB6">
      <w:pPr>
        <w:spacing w:before="177" w:line="298" w:lineRule="auto"/>
        <w:ind w:left="22" w:firstLine="642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3"/>
          <w:sz w:val="31"/>
          <w:szCs w:val="31"/>
        </w:rPr>
        <w:t>（4）基于</w:t>
      </w:r>
      <w:r>
        <w:rPr>
          <w:rFonts w:ascii="仿宋" w:hAnsi="仿宋" w:eastAsia="仿宋" w:cs="仿宋"/>
          <w:sz w:val="31"/>
          <w:szCs w:val="31"/>
        </w:rPr>
        <w:t>AI</w:t>
      </w:r>
      <w:r>
        <w:rPr>
          <w:rFonts w:ascii="仿宋" w:hAnsi="仿宋" w:eastAsia="仿宋" w:cs="仿宋"/>
          <w:spacing w:val="-2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3"/>
          <w:sz w:val="31"/>
          <w:szCs w:val="31"/>
        </w:rPr>
        <w:t>的高校学生心理危机预警系统设计与应用研究，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2"/>
          <w:sz w:val="31"/>
          <w:szCs w:val="31"/>
        </w:rPr>
        <w:t>主要研究并开发基于</w:t>
      </w:r>
      <w:r>
        <w:rPr>
          <w:rFonts w:ascii="仿宋" w:hAnsi="仿宋" w:eastAsia="仿宋" w:cs="仿宋"/>
          <w:sz w:val="31"/>
          <w:szCs w:val="31"/>
        </w:rPr>
        <w:t>AI</w:t>
      </w:r>
      <w:r>
        <w:rPr>
          <w:rFonts w:ascii="仿宋" w:hAnsi="仿宋" w:eastAsia="仿宋" w:cs="仿宋"/>
          <w:spacing w:val="-18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2"/>
          <w:sz w:val="31"/>
          <w:szCs w:val="31"/>
        </w:rPr>
        <w:t>的实时心理危机预警系统，助力校园心</w:t>
      </w:r>
      <w:r>
        <w:rPr>
          <w:rFonts w:ascii="仿宋" w:hAnsi="仿宋" w:eastAsia="仿宋" w:cs="仿宋"/>
          <w:sz w:val="31"/>
          <w:szCs w:val="31"/>
        </w:rPr>
        <w:t xml:space="preserve">  </w:t>
      </w:r>
      <w:r>
        <w:rPr>
          <w:rFonts w:ascii="仿宋" w:hAnsi="仿宋" w:eastAsia="仿宋" w:cs="仿宋"/>
          <w:spacing w:val="4"/>
          <w:sz w:val="31"/>
          <w:szCs w:val="31"/>
        </w:rPr>
        <w:t>理干预体系。</w:t>
      </w:r>
    </w:p>
    <w:p w14:paraId="78E865B8">
      <w:pPr>
        <w:spacing w:before="176" w:line="298" w:lineRule="auto"/>
        <w:ind w:left="21" w:right="248" w:firstLine="64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0"/>
          <w:sz w:val="31"/>
          <w:szCs w:val="31"/>
        </w:rPr>
        <w:t>（5）高校学生行为大数据分析平台的开发与应用研究，主</w:t>
      </w:r>
      <w:r>
        <w:rPr>
          <w:rFonts w:ascii="仿宋" w:hAnsi="仿宋" w:eastAsia="仿宋" w:cs="仿宋"/>
          <w:spacing w:val="1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5"/>
          <w:sz w:val="31"/>
          <w:szCs w:val="31"/>
        </w:rPr>
        <w:t>要研究如何利用大数据技术建立高校学生行为监测平台，实时监</w:t>
      </w:r>
      <w:r>
        <w:rPr>
          <w:rFonts w:ascii="仿宋" w:hAnsi="仿宋" w:eastAsia="仿宋" w:cs="仿宋"/>
          <w:spacing w:val="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6"/>
          <w:sz w:val="31"/>
          <w:szCs w:val="31"/>
        </w:rPr>
        <w:t>控和预警异常行为。</w:t>
      </w:r>
    </w:p>
    <w:p w14:paraId="46C6C93B">
      <w:pPr>
        <w:spacing w:line="298" w:lineRule="auto"/>
        <w:rPr>
          <w:rFonts w:ascii="仿宋" w:hAnsi="仿宋" w:eastAsia="仿宋" w:cs="仿宋"/>
          <w:sz w:val="31"/>
          <w:szCs w:val="31"/>
        </w:rPr>
        <w:sectPr>
          <w:footerReference r:id="rId14" w:type="default"/>
          <w:pgSz w:w="11906" w:h="16839"/>
          <w:pgMar w:top="1431" w:right="1224" w:bottom="1175" w:left="1587" w:header="0" w:footer="1012" w:gutter="0"/>
          <w:cols w:space="720" w:num="1"/>
        </w:sectPr>
      </w:pPr>
    </w:p>
    <w:p w14:paraId="0185E920">
      <w:pPr>
        <w:pStyle w:val="3"/>
        <w:spacing w:line="245" w:lineRule="auto"/>
      </w:pPr>
    </w:p>
    <w:p w14:paraId="7D77CE26">
      <w:pPr>
        <w:pStyle w:val="3"/>
        <w:spacing w:line="245" w:lineRule="auto"/>
      </w:pPr>
    </w:p>
    <w:p w14:paraId="41E0C53E">
      <w:pPr>
        <w:pStyle w:val="3"/>
        <w:spacing w:line="245" w:lineRule="auto"/>
      </w:pPr>
    </w:p>
    <w:p w14:paraId="3AFBE7F9">
      <w:pPr>
        <w:spacing w:before="101" w:line="298" w:lineRule="auto"/>
        <w:ind w:right="90" w:firstLine="645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0"/>
          <w:sz w:val="31"/>
          <w:szCs w:val="31"/>
        </w:rPr>
        <w:t>（6）智能行为监控与应急响应系统在智慧平安校园中的应</w:t>
      </w:r>
      <w:r>
        <w:rPr>
          <w:rFonts w:ascii="仿宋" w:hAnsi="仿宋" w:eastAsia="仿宋" w:cs="仿宋"/>
          <w:spacing w:val="1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3"/>
          <w:sz w:val="31"/>
          <w:szCs w:val="31"/>
        </w:rPr>
        <w:t>用研究，主要研发基于</w:t>
      </w:r>
      <w:r>
        <w:rPr>
          <w:rFonts w:ascii="仿宋" w:hAnsi="仿宋" w:eastAsia="仿宋" w:cs="仿宋"/>
          <w:sz w:val="31"/>
          <w:szCs w:val="31"/>
        </w:rPr>
        <w:t>AI</w:t>
      </w:r>
      <w:r>
        <w:rPr>
          <w:rFonts w:ascii="仿宋" w:hAnsi="仿宋" w:eastAsia="仿宋" w:cs="仿宋"/>
          <w:spacing w:val="-3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3"/>
          <w:sz w:val="31"/>
          <w:szCs w:val="31"/>
        </w:rPr>
        <w:t>的智能监控和应急响</w:t>
      </w:r>
      <w:r>
        <w:rPr>
          <w:rFonts w:ascii="仿宋" w:hAnsi="仿宋" w:eastAsia="仿宋" w:cs="仿宋"/>
          <w:spacing w:val="12"/>
          <w:sz w:val="31"/>
          <w:szCs w:val="31"/>
        </w:rPr>
        <w:t>应系统，提升校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7"/>
          <w:sz w:val="31"/>
          <w:szCs w:val="31"/>
        </w:rPr>
        <w:t>园安全管理和危机应对能力。</w:t>
      </w:r>
    </w:p>
    <w:p w14:paraId="5B4AFB22">
      <w:pPr>
        <w:spacing w:before="178" w:line="298" w:lineRule="auto"/>
        <w:ind w:left="7" w:right="90" w:firstLine="637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0"/>
          <w:sz w:val="31"/>
          <w:szCs w:val="31"/>
        </w:rPr>
        <w:t>（7）数据驱动的高校学生心理与行为模式关联分析研究，</w:t>
      </w:r>
      <w:r>
        <w:rPr>
          <w:rFonts w:ascii="仿宋" w:hAnsi="仿宋" w:eastAsia="仿宋" w:cs="仿宋"/>
          <w:spacing w:val="1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5"/>
          <w:sz w:val="31"/>
          <w:szCs w:val="31"/>
        </w:rPr>
        <w:t>主要研究高校学生行为数据与心理健康状态之间的</w:t>
      </w:r>
      <w:r>
        <w:rPr>
          <w:rFonts w:ascii="仿宋" w:hAnsi="仿宋" w:eastAsia="仿宋" w:cs="仿宋"/>
          <w:spacing w:val="4"/>
          <w:sz w:val="31"/>
          <w:szCs w:val="31"/>
        </w:rPr>
        <w:t>相互影响，建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5"/>
          <w:sz w:val="31"/>
          <w:szCs w:val="31"/>
        </w:rPr>
        <w:t>立关联分析模型。</w:t>
      </w:r>
    </w:p>
    <w:p w14:paraId="05E8925F">
      <w:pPr>
        <w:spacing w:before="180" w:line="298" w:lineRule="auto"/>
        <w:ind w:right="90" w:firstLine="645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0"/>
          <w:sz w:val="31"/>
          <w:szCs w:val="31"/>
        </w:rPr>
        <w:t>（8）基于数据挖掘的心理健康与行为异常预测研究，主要</w:t>
      </w:r>
      <w:r>
        <w:rPr>
          <w:rFonts w:ascii="仿宋" w:hAnsi="仿宋" w:eastAsia="仿宋" w:cs="仿宋"/>
          <w:spacing w:val="1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5"/>
          <w:sz w:val="31"/>
          <w:szCs w:val="31"/>
        </w:rPr>
        <w:t>探索通过数据挖掘技术，提取心理健康与行为异常之间的关键数</w:t>
      </w:r>
      <w:r>
        <w:rPr>
          <w:rFonts w:ascii="仿宋" w:hAnsi="仿宋" w:eastAsia="仿宋" w:cs="仿宋"/>
          <w:spacing w:val="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7"/>
          <w:sz w:val="31"/>
          <w:szCs w:val="31"/>
        </w:rPr>
        <w:t>据特征，实现精准预测。</w:t>
      </w:r>
    </w:p>
    <w:p w14:paraId="269D8D5B">
      <w:pPr>
        <w:spacing w:before="178" w:line="298" w:lineRule="auto"/>
        <w:ind w:left="8" w:firstLine="636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2"/>
          <w:sz w:val="31"/>
          <w:szCs w:val="31"/>
        </w:rPr>
        <w:t>（9）高校学生心理与行为动态关联的智能监测与预警</w:t>
      </w:r>
      <w:r>
        <w:rPr>
          <w:rFonts w:ascii="仿宋" w:hAnsi="仿宋" w:eastAsia="仿宋" w:cs="仿宋"/>
          <w:spacing w:val="1"/>
          <w:sz w:val="31"/>
          <w:szCs w:val="31"/>
        </w:rPr>
        <w:t>研究，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3"/>
          <w:sz w:val="31"/>
          <w:szCs w:val="31"/>
        </w:rPr>
        <w:t>主要通过</w:t>
      </w:r>
      <w:r>
        <w:rPr>
          <w:rFonts w:ascii="仿宋" w:hAnsi="仿宋" w:eastAsia="仿宋" w:cs="仿宋"/>
          <w:sz w:val="31"/>
          <w:szCs w:val="31"/>
        </w:rPr>
        <w:t>AI</w:t>
      </w:r>
      <w:r>
        <w:rPr>
          <w:rFonts w:ascii="仿宋" w:hAnsi="仿宋" w:eastAsia="仿宋" w:cs="仿宋"/>
          <w:spacing w:val="-50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3"/>
          <w:sz w:val="31"/>
          <w:szCs w:val="31"/>
        </w:rPr>
        <w:t>技术实时监测学生的心理状态和行为变化，构建动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6"/>
          <w:sz w:val="31"/>
          <w:szCs w:val="31"/>
        </w:rPr>
        <w:t>态关联模型以实现异常预警。</w:t>
      </w:r>
    </w:p>
    <w:sectPr>
      <w:footerReference r:id="rId15" w:type="default"/>
      <w:pgSz w:w="11906" w:h="16839"/>
      <w:pgMar w:top="1431" w:right="1385" w:bottom="1177" w:left="1607" w:header="0" w:footer="1012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A10277">
    <w:pPr>
      <w:pStyle w:val="3"/>
      <w:spacing w:line="179" w:lineRule="auto"/>
      <w:ind w:left="4220"/>
      <w:rPr>
        <w:sz w:val="18"/>
        <w:szCs w:val="18"/>
      </w:rPr>
    </w:pPr>
    <w:r>
      <w:rPr>
        <w:spacing w:val="1"/>
        <w:sz w:val="18"/>
        <w:szCs w:val="18"/>
      </w:rPr>
      <w:t>-</w:t>
    </w:r>
    <w:r>
      <w:rPr>
        <w:spacing w:val="11"/>
        <w:sz w:val="18"/>
        <w:szCs w:val="18"/>
      </w:rPr>
      <w:t xml:space="preserve"> </w:t>
    </w:r>
    <w:r>
      <w:rPr>
        <w:spacing w:val="1"/>
        <w:sz w:val="18"/>
        <w:szCs w:val="18"/>
      </w:rPr>
      <w:t>6</w:t>
    </w:r>
    <w:r>
      <w:rPr>
        <w:spacing w:val="18"/>
        <w:w w:val="101"/>
        <w:sz w:val="18"/>
        <w:szCs w:val="18"/>
      </w:rPr>
      <w:t xml:space="preserve"> </w:t>
    </w:r>
    <w:r>
      <w:rPr>
        <w:spacing w:val="1"/>
        <w:sz w:val="18"/>
        <w:szCs w:val="18"/>
      </w:rPr>
      <w:t>-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65BE29">
    <w:pPr>
      <w:pStyle w:val="3"/>
      <w:spacing w:line="178" w:lineRule="auto"/>
      <w:ind w:left="4055"/>
      <w:rPr>
        <w:sz w:val="18"/>
        <w:szCs w:val="18"/>
      </w:rPr>
    </w:pPr>
    <w:r>
      <w:rPr>
        <w:spacing w:val="2"/>
        <w:sz w:val="18"/>
        <w:szCs w:val="18"/>
      </w:rPr>
      <w:t>-</w:t>
    </w:r>
    <w:r>
      <w:rPr>
        <w:spacing w:val="8"/>
        <w:sz w:val="18"/>
        <w:szCs w:val="18"/>
      </w:rPr>
      <w:t xml:space="preserve"> </w:t>
    </w:r>
    <w:r>
      <w:rPr>
        <w:spacing w:val="2"/>
        <w:sz w:val="18"/>
        <w:szCs w:val="18"/>
      </w:rPr>
      <w:t>7</w:t>
    </w:r>
    <w:r>
      <w:rPr>
        <w:spacing w:val="18"/>
        <w:w w:val="101"/>
        <w:sz w:val="18"/>
        <w:szCs w:val="18"/>
      </w:rPr>
      <w:t xml:space="preserve"> </w:t>
    </w:r>
    <w:r>
      <w:rPr>
        <w:spacing w:val="2"/>
        <w:sz w:val="18"/>
        <w:szCs w:val="18"/>
      </w:rPr>
      <w:t>-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2A2647">
    <w:pPr>
      <w:pStyle w:val="3"/>
      <w:spacing w:line="179" w:lineRule="auto"/>
      <w:ind w:left="4234"/>
      <w:rPr>
        <w:sz w:val="18"/>
        <w:szCs w:val="18"/>
      </w:rPr>
    </w:pPr>
    <w:r>
      <w:rPr>
        <w:spacing w:val="2"/>
        <w:sz w:val="18"/>
        <w:szCs w:val="18"/>
      </w:rPr>
      <w:t>-</w:t>
    </w:r>
    <w:r>
      <w:rPr>
        <w:spacing w:val="8"/>
        <w:sz w:val="18"/>
        <w:szCs w:val="18"/>
      </w:rPr>
      <w:t xml:space="preserve"> </w:t>
    </w:r>
    <w:r>
      <w:rPr>
        <w:spacing w:val="2"/>
        <w:sz w:val="18"/>
        <w:szCs w:val="18"/>
      </w:rPr>
      <w:t>8</w:t>
    </w:r>
    <w:r>
      <w:rPr>
        <w:spacing w:val="18"/>
        <w:w w:val="101"/>
        <w:sz w:val="18"/>
        <w:szCs w:val="18"/>
      </w:rPr>
      <w:t xml:space="preserve"> </w:t>
    </w:r>
    <w:r>
      <w:rPr>
        <w:spacing w:val="2"/>
        <w:sz w:val="18"/>
        <w:szCs w:val="18"/>
      </w:rPr>
      <w:t>-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A8A898">
    <w:pPr>
      <w:pStyle w:val="3"/>
      <w:spacing w:line="179" w:lineRule="auto"/>
      <w:ind w:left="4231"/>
      <w:rPr>
        <w:sz w:val="18"/>
        <w:szCs w:val="18"/>
      </w:rPr>
    </w:pPr>
    <w:r>
      <w:rPr>
        <w:spacing w:val="2"/>
        <w:sz w:val="18"/>
        <w:szCs w:val="18"/>
      </w:rPr>
      <w:t>-</w:t>
    </w:r>
    <w:r>
      <w:rPr>
        <w:spacing w:val="8"/>
        <w:sz w:val="18"/>
        <w:szCs w:val="18"/>
      </w:rPr>
      <w:t xml:space="preserve"> </w:t>
    </w:r>
    <w:r>
      <w:rPr>
        <w:spacing w:val="2"/>
        <w:sz w:val="18"/>
        <w:szCs w:val="18"/>
      </w:rPr>
      <w:t>9</w:t>
    </w:r>
    <w:r>
      <w:rPr>
        <w:spacing w:val="18"/>
        <w:w w:val="101"/>
        <w:sz w:val="18"/>
        <w:szCs w:val="18"/>
      </w:rPr>
      <w:t xml:space="preserve"> </w:t>
    </w:r>
    <w:r>
      <w:rPr>
        <w:spacing w:val="2"/>
        <w:sz w:val="18"/>
        <w:szCs w:val="18"/>
      </w:rPr>
      <w:t>-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D6314B">
    <w:pPr>
      <w:pStyle w:val="3"/>
      <w:spacing w:line="179" w:lineRule="auto"/>
      <w:ind w:left="4187"/>
      <w:rPr>
        <w:sz w:val="18"/>
        <w:szCs w:val="18"/>
      </w:rPr>
    </w:pPr>
    <w:r>
      <w:rPr>
        <w:spacing w:val="-1"/>
        <w:sz w:val="18"/>
        <w:szCs w:val="18"/>
      </w:rPr>
      <w:t>-</w:t>
    </w:r>
    <w:r>
      <w:rPr>
        <w:spacing w:val="13"/>
        <w:w w:val="101"/>
        <w:sz w:val="18"/>
        <w:szCs w:val="18"/>
      </w:rPr>
      <w:t xml:space="preserve"> </w:t>
    </w:r>
    <w:r>
      <w:rPr>
        <w:spacing w:val="-1"/>
        <w:sz w:val="18"/>
        <w:szCs w:val="18"/>
      </w:rPr>
      <w:t>10</w:t>
    </w:r>
    <w:r>
      <w:rPr>
        <w:spacing w:val="19"/>
        <w:sz w:val="18"/>
        <w:szCs w:val="18"/>
      </w:rPr>
      <w:t xml:space="preserve"> </w:t>
    </w:r>
    <w:r>
      <w:rPr>
        <w:spacing w:val="-1"/>
        <w:sz w:val="18"/>
        <w:szCs w:val="18"/>
      </w:rPr>
      <w:t>-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0AA078">
    <w:pPr>
      <w:pStyle w:val="3"/>
      <w:spacing w:line="178" w:lineRule="auto"/>
      <w:ind w:left="4186"/>
      <w:rPr>
        <w:sz w:val="18"/>
        <w:szCs w:val="18"/>
      </w:rPr>
    </w:pPr>
    <w:r>
      <w:rPr>
        <w:spacing w:val="-1"/>
        <w:sz w:val="18"/>
        <w:szCs w:val="18"/>
      </w:rPr>
      <w:t>-</w:t>
    </w:r>
    <w:r>
      <w:rPr>
        <w:spacing w:val="13"/>
        <w:w w:val="101"/>
        <w:sz w:val="18"/>
        <w:szCs w:val="18"/>
      </w:rPr>
      <w:t xml:space="preserve"> </w:t>
    </w:r>
    <w:r>
      <w:rPr>
        <w:spacing w:val="-1"/>
        <w:sz w:val="18"/>
        <w:szCs w:val="18"/>
      </w:rPr>
      <w:t>11</w:t>
    </w:r>
    <w:r>
      <w:rPr>
        <w:spacing w:val="19"/>
        <w:sz w:val="18"/>
        <w:szCs w:val="18"/>
      </w:rPr>
      <w:t xml:space="preserve"> </w:t>
    </w:r>
    <w:r>
      <w:rPr>
        <w:spacing w:val="-1"/>
        <w:sz w:val="18"/>
        <w:szCs w:val="18"/>
      </w:rPr>
      <w:t>-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D0F2E1">
    <w:pPr>
      <w:pStyle w:val="3"/>
      <w:spacing w:line="180" w:lineRule="auto"/>
      <w:ind w:left="4187"/>
      <w:rPr>
        <w:sz w:val="18"/>
        <w:szCs w:val="18"/>
      </w:rPr>
    </w:pPr>
    <w:r>
      <w:rPr>
        <w:spacing w:val="-1"/>
        <w:sz w:val="18"/>
        <w:szCs w:val="18"/>
      </w:rPr>
      <w:t>-</w:t>
    </w:r>
    <w:r>
      <w:rPr>
        <w:spacing w:val="13"/>
        <w:w w:val="101"/>
        <w:sz w:val="18"/>
        <w:szCs w:val="18"/>
      </w:rPr>
      <w:t xml:space="preserve"> </w:t>
    </w:r>
    <w:r>
      <w:rPr>
        <w:spacing w:val="-1"/>
        <w:sz w:val="18"/>
        <w:szCs w:val="18"/>
      </w:rPr>
      <w:t>12</w:t>
    </w:r>
    <w:r>
      <w:rPr>
        <w:spacing w:val="19"/>
        <w:sz w:val="18"/>
        <w:szCs w:val="18"/>
      </w:rPr>
      <w:t xml:space="preserve"> </w:t>
    </w:r>
    <w:r>
      <w:rPr>
        <w:spacing w:val="-1"/>
        <w:sz w:val="18"/>
        <w:szCs w:val="18"/>
      </w:rPr>
      <w:t>-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46803B">
    <w:pPr>
      <w:pStyle w:val="3"/>
      <w:spacing w:line="179" w:lineRule="auto"/>
      <w:ind w:left="4187"/>
      <w:rPr>
        <w:sz w:val="18"/>
        <w:szCs w:val="18"/>
      </w:rPr>
    </w:pPr>
    <w:r>
      <w:rPr>
        <w:spacing w:val="-1"/>
        <w:sz w:val="18"/>
        <w:szCs w:val="18"/>
      </w:rPr>
      <w:t>-</w:t>
    </w:r>
    <w:r>
      <w:rPr>
        <w:spacing w:val="13"/>
        <w:w w:val="101"/>
        <w:sz w:val="18"/>
        <w:szCs w:val="18"/>
      </w:rPr>
      <w:t xml:space="preserve"> </w:t>
    </w:r>
    <w:r>
      <w:rPr>
        <w:spacing w:val="-1"/>
        <w:sz w:val="18"/>
        <w:szCs w:val="18"/>
      </w:rPr>
      <w:t>13</w:t>
    </w:r>
    <w:r>
      <w:rPr>
        <w:spacing w:val="19"/>
        <w:sz w:val="18"/>
        <w:szCs w:val="18"/>
      </w:rPr>
      <w:t xml:space="preserve"> </w:t>
    </w:r>
    <w:r>
      <w:rPr>
        <w:spacing w:val="-1"/>
        <w:sz w:val="18"/>
        <w:szCs w:val="18"/>
      </w:rPr>
      <w:t>-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D54A78">
    <w:pPr>
      <w:pStyle w:val="3"/>
      <w:spacing w:line="178" w:lineRule="auto"/>
      <w:ind w:left="4007"/>
      <w:rPr>
        <w:sz w:val="18"/>
        <w:szCs w:val="18"/>
      </w:rPr>
    </w:pPr>
    <w:r>
      <w:rPr>
        <w:spacing w:val="-1"/>
        <w:sz w:val="18"/>
        <w:szCs w:val="18"/>
      </w:rPr>
      <w:t>-</w:t>
    </w:r>
    <w:r>
      <w:rPr>
        <w:spacing w:val="13"/>
        <w:w w:val="101"/>
        <w:sz w:val="18"/>
        <w:szCs w:val="18"/>
      </w:rPr>
      <w:t xml:space="preserve"> </w:t>
    </w:r>
    <w:r>
      <w:rPr>
        <w:spacing w:val="-1"/>
        <w:sz w:val="18"/>
        <w:szCs w:val="18"/>
      </w:rPr>
      <w:t>14</w:t>
    </w:r>
    <w:r>
      <w:rPr>
        <w:spacing w:val="19"/>
        <w:sz w:val="18"/>
        <w:szCs w:val="18"/>
      </w:rPr>
      <w:t xml:space="preserve"> </w:t>
    </w:r>
    <w:r>
      <w:rPr>
        <w:spacing w:val="-1"/>
        <w:sz w:val="18"/>
        <w:szCs w:val="18"/>
      </w:rPr>
      <w:t>-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1444C5">
    <w:pPr>
      <w:pStyle w:val="3"/>
      <w:spacing w:line="177" w:lineRule="auto"/>
      <w:ind w:left="4206"/>
      <w:rPr>
        <w:sz w:val="18"/>
        <w:szCs w:val="18"/>
      </w:rPr>
    </w:pPr>
    <w:r>
      <w:rPr>
        <w:spacing w:val="-1"/>
        <w:sz w:val="18"/>
        <w:szCs w:val="18"/>
      </w:rPr>
      <w:t>-</w:t>
    </w:r>
    <w:r>
      <w:rPr>
        <w:spacing w:val="13"/>
        <w:w w:val="101"/>
        <w:sz w:val="18"/>
        <w:szCs w:val="18"/>
      </w:rPr>
      <w:t xml:space="preserve"> </w:t>
    </w:r>
    <w:r>
      <w:rPr>
        <w:spacing w:val="-1"/>
        <w:sz w:val="18"/>
        <w:szCs w:val="18"/>
      </w:rPr>
      <w:t>15</w:t>
    </w:r>
    <w:r>
      <w:rPr>
        <w:spacing w:val="19"/>
        <w:sz w:val="18"/>
        <w:szCs w:val="18"/>
      </w:rPr>
      <w:t xml:space="preserve"> </w:t>
    </w:r>
    <w:r>
      <w:rPr>
        <w:spacing w:val="-1"/>
        <w:sz w:val="18"/>
        <w:szCs w:val="18"/>
      </w:rPr>
      <w:t>-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FF9FF7">
    <w:pPr>
      <w:pStyle w:val="3"/>
      <w:spacing w:line="179" w:lineRule="auto"/>
      <w:ind w:left="4186"/>
      <w:rPr>
        <w:sz w:val="18"/>
        <w:szCs w:val="18"/>
      </w:rPr>
    </w:pPr>
    <w:r>
      <w:rPr>
        <w:spacing w:val="-1"/>
        <w:sz w:val="18"/>
        <w:szCs w:val="18"/>
      </w:rPr>
      <w:t>-</w:t>
    </w:r>
    <w:r>
      <w:rPr>
        <w:spacing w:val="13"/>
        <w:w w:val="101"/>
        <w:sz w:val="18"/>
        <w:szCs w:val="18"/>
      </w:rPr>
      <w:t xml:space="preserve"> </w:t>
    </w:r>
    <w:r>
      <w:rPr>
        <w:spacing w:val="-1"/>
        <w:sz w:val="18"/>
        <w:szCs w:val="18"/>
      </w:rPr>
      <w:t>16</w:t>
    </w:r>
    <w:r>
      <w:rPr>
        <w:spacing w:val="19"/>
        <w:sz w:val="18"/>
        <w:szCs w:val="18"/>
      </w:rPr>
      <w:t xml:space="preserve"> </w:t>
    </w:r>
    <w:r>
      <w:rPr>
        <w:spacing w:val="-1"/>
        <w:sz w:val="18"/>
        <w:szCs w:val="18"/>
      </w:rPr>
      <w:t>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ZDRjZWEzMDM3M2EzNzZiOWMwNjU4ODJlNTEwNTdkNmMifQ=="/>
  </w:docVars>
  <w:rsids>
    <w:rsidRoot w:val="00000000"/>
    <w:rsid w:val="087743BE"/>
    <w:rsid w:val="198239C5"/>
    <w:rsid w:val="41957726"/>
    <w:rsid w:val="48485C9E"/>
    <w:rsid w:val="5902149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ind w:firstLine="420" w:firstLineChars="100"/>
    </w:pPr>
  </w:style>
  <w:style w:type="paragraph" w:styleId="3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theme" Target="theme/theme1.xml"/><Relationship Id="rId15" Type="http://schemas.openxmlformats.org/officeDocument/2006/relationships/footer" Target="footer11.xml"/><Relationship Id="rId14" Type="http://schemas.openxmlformats.org/officeDocument/2006/relationships/footer" Target="footer10.xml"/><Relationship Id="rId13" Type="http://schemas.openxmlformats.org/officeDocument/2006/relationships/footer" Target="footer9.xml"/><Relationship Id="rId12" Type="http://schemas.openxmlformats.org/officeDocument/2006/relationships/footer" Target="footer8.xml"/><Relationship Id="rId11" Type="http://schemas.openxmlformats.org/officeDocument/2006/relationships/footer" Target="footer7.xml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11</Pages>
  <Words>2811</Words>
  <Characters>2902</Characters>
  <TotalTime>7</TotalTime>
  <ScaleCrop>false</ScaleCrop>
  <LinksUpToDate>false</LinksUpToDate>
  <CharactersWithSpaces>3002</CharactersWithSpaces>
  <Application>WPS Office_12.1.0.18196_F1E327BC-269C-435d-A152-05C5408002CA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2024-10-17T01:17:11Z</dcterms:created>
  <dc:creator>Administrator</dc:creator>
  <cp:lastModifiedBy>萌萌哒</cp:lastModifiedBy>
  <dcterms:modified xsi:type="dcterms:W3CDTF">2024-10-17T02:04:12Z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2024-10-17T09:17:11Z</vt:filetime>
  </property>
  <property fmtid="{D5CDD505-2E9C-101B-9397-08002B2CF9AE}" pid="4" name="KSOProductBuildVer">
    <vt:lpwstr>2052-12.1.0.18196</vt:lpwstr>
  </property>
  <property fmtid="{D5CDD505-2E9C-101B-9397-08002B2CF9AE}" pid="5" name="ICV">
    <vt:lpwstr>220C17ECCBCF4E07BDC48884D83181FA_13</vt:lpwstr>
  </property>
</Properties>
</file>