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990B9">
      <w:pPr>
        <w:spacing w:before="143" w:line="250" w:lineRule="auto"/>
        <w:ind w:left="2336" w:right="734" w:hanging="1680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7"/>
          <w:sz w:val="44"/>
          <w:szCs w:val="44"/>
        </w:rPr>
        <w:t>宜春市社会科学研究“十四五”规划</w:t>
      </w:r>
      <w:r>
        <w:rPr>
          <w:rFonts w:ascii="宋体" w:hAnsi="宋体" w:eastAsia="宋体" w:cs="宋体"/>
          <w:spacing w:val="11"/>
          <w:sz w:val="44"/>
          <w:szCs w:val="44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44"/>
          <w:szCs w:val="44"/>
        </w:rPr>
        <w:t>2025年度课题指南</w:t>
      </w:r>
    </w:p>
    <w:p w14:paraId="0FC77CBC">
      <w:pPr>
        <w:pStyle w:val="2"/>
        <w:spacing w:line="263" w:lineRule="auto"/>
      </w:pPr>
    </w:p>
    <w:p w14:paraId="702A486B">
      <w:pPr>
        <w:pStyle w:val="2"/>
        <w:spacing w:line="263" w:lineRule="auto"/>
      </w:pPr>
    </w:p>
    <w:p w14:paraId="6D3AEDD6">
      <w:pPr>
        <w:spacing w:before="104" w:line="222" w:lineRule="auto"/>
        <w:ind w:left="4"/>
        <w:outlineLvl w:val="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14"/>
          <w:sz w:val="32"/>
          <w:szCs w:val="32"/>
        </w:rPr>
        <w:t>一、马克思主义</w:t>
      </w:r>
      <w:r>
        <w:rPr>
          <w:rFonts w:ascii="仿宋" w:hAnsi="仿宋" w:eastAsia="仿宋" w:cs="仿宋"/>
          <w:spacing w:val="-21"/>
          <w:sz w:val="32"/>
          <w:szCs w:val="32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2"/>
          <w:szCs w:val="32"/>
        </w:rPr>
        <w:t>·</w:t>
      </w:r>
      <w:r>
        <w:rPr>
          <w:rFonts w:ascii="仿宋" w:hAnsi="仿宋" w:eastAsia="仿宋" w:cs="仿宋"/>
          <w:spacing w:val="-135"/>
          <w:sz w:val="32"/>
          <w:szCs w:val="32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2"/>
          <w:szCs w:val="32"/>
        </w:rPr>
        <w:t>科学社会主义类</w:t>
      </w:r>
    </w:p>
    <w:p w14:paraId="716EE0BC">
      <w:pPr>
        <w:spacing w:before="238" w:line="293" w:lineRule="auto"/>
        <w:ind w:right="121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1.</w:t>
      </w:r>
      <w:r>
        <w:rPr>
          <w:rFonts w:ascii="仿宋" w:hAnsi="仿宋" w:eastAsia="仿宋" w:cs="仿宋"/>
          <w:spacing w:val="-2"/>
          <w:sz w:val="32"/>
          <w:szCs w:val="32"/>
        </w:rPr>
        <w:t>马克思主义基础研究、马克思主义中国化时代化研究以及</w:t>
      </w:r>
      <w:r>
        <w:rPr>
          <w:rFonts w:ascii="仿宋" w:hAnsi="仿宋" w:eastAsia="仿宋" w:cs="仿宋"/>
          <w:spacing w:val="1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马克思主义宜春实践研究</w:t>
      </w:r>
    </w:p>
    <w:p w14:paraId="66069AD5">
      <w:pPr>
        <w:spacing w:before="222" w:line="295" w:lineRule="auto"/>
        <w:ind w:right="116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11"/>
          <w:sz w:val="32"/>
          <w:szCs w:val="32"/>
        </w:rPr>
        <w:t>2.</w:t>
      </w:r>
      <w:r>
        <w:rPr>
          <w:rFonts w:ascii="仿宋" w:hAnsi="仿宋" w:eastAsia="仿宋" w:cs="仿宋"/>
          <w:spacing w:val="11"/>
          <w:sz w:val="32"/>
          <w:szCs w:val="32"/>
        </w:rPr>
        <w:t>习近平新时代中国特色社会主义思想研究阐释及宜春实</w:t>
      </w:r>
      <w:r>
        <w:rPr>
          <w:rFonts w:ascii="仿宋" w:hAnsi="仿宋" w:eastAsia="仿宋" w:cs="仿宋"/>
          <w:spacing w:val="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践研究</w:t>
      </w:r>
    </w:p>
    <w:p w14:paraId="05A38D0E">
      <w:pPr>
        <w:spacing w:before="217" w:line="293" w:lineRule="auto"/>
        <w:ind w:right="133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3.</w:t>
      </w:r>
      <w:r>
        <w:rPr>
          <w:rFonts w:ascii="仿宋" w:hAnsi="仿宋" w:eastAsia="仿宋" w:cs="仿宋"/>
          <w:spacing w:val="-2"/>
          <w:sz w:val="32"/>
          <w:szCs w:val="32"/>
        </w:rPr>
        <w:t>党的二十大精神阐释研究，新时代十年的伟大变革和历史</w:t>
      </w:r>
      <w:r>
        <w:rPr>
          <w:rFonts w:ascii="仿宋" w:hAnsi="仿宋" w:eastAsia="仿宋" w:cs="仿宋"/>
          <w:spacing w:val="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经验阐释、研究，非凡十年的宜春历程研究</w:t>
      </w:r>
    </w:p>
    <w:p w14:paraId="02A7AA98">
      <w:pPr>
        <w:spacing w:before="235" w:line="222" w:lineRule="auto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4.</w:t>
      </w:r>
      <w:r>
        <w:rPr>
          <w:rFonts w:ascii="仿宋" w:hAnsi="仿宋" w:eastAsia="仿宋" w:cs="仿宋"/>
          <w:spacing w:val="-1"/>
          <w:sz w:val="32"/>
          <w:szCs w:val="32"/>
        </w:rPr>
        <w:t>党的二十届三中全会精神研究阐释及宜春实践研究</w:t>
      </w:r>
    </w:p>
    <w:p w14:paraId="336D61CE">
      <w:pPr>
        <w:spacing w:before="237" w:line="287" w:lineRule="auto"/>
        <w:ind w:right="114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11"/>
          <w:sz w:val="32"/>
          <w:szCs w:val="32"/>
        </w:rPr>
        <w:t>5.</w:t>
      </w:r>
      <w:r>
        <w:rPr>
          <w:rFonts w:ascii="仿宋" w:hAnsi="仿宋" w:eastAsia="仿宋" w:cs="仿宋"/>
          <w:spacing w:val="11"/>
          <w:sz w:val="32"/>
          <w:szCs w:val="32"/>
        </w:rPr>
        <w:t>深入学习贯彻习近平总书记考察江西重要讲话精神及宜</w:t>
      </w:r>
      <w:r>
        <w:rPr>
          <w:rFonts w:ascii="仿宋" w:hAnsi="仿宋" w:eastAsia="仿宋" w:cs="仿宋"/>
          <w:spacing w:val="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春实践研究</w:t>
      </w:r>
    </w:p>
    <w:p w14:paraId="726689BE">
      <w:pPr>
        <w:spacing w:before="243" w:line="222" w:lineRule="auto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6.</w:t>
      </w:r>
      <w:r>
        <w:rPr>
          <w:rFonts w:ascii="仿宋" w:hAnsi="仿宋" w:eastAsia="仿宋" w:cs="仿宋"/>
          <w:spacing w:val="-1"/>
          <w:sz w:val="32"/>
          <w:szCs w:val="32"/>
        </w:rPr>
        <w:t>习近平文化思想研究阐释及宜春实践研究</w:t>
      </w:r>
    </w:p>
    <w:p w14:paraId="2CDADBC2">
      <w:pPr>
        <w:spacing w:before="235" w:line="222" w:lineRule="auto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7.</w:t>
      </w:r>
      <w:r>
        <w:rPr>
          <w:rFonts w:ascii="仿宋" w:hAnsi="仿宋" w:eastAsia="仿宋" w:cs="仿宋"/>
          <w:spacing w:val="-3"/>
          <w:sz w:val="32"/>
          <w:szCs w:val="32"/>
        </w:rPr>
        <w:t>习近平法治思想研究阐释及宜春实践研究</w:t>
      </w:r>
    </w:p>
    <w:p w14:paraId="74A1BAAB">
      <w:pPr>
        <w:spacing w:before="238" w:line="222" w:lineRule="auto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8.</w:t>
      </w:r>
      <w:r>
        <w:rPr>
          <w:rFonts w:ascii="仿宋" w:hAnsi="仿宋" w:eastAsia="仿宋" w:cs="仿宋"/>
          <w:spacing w:val="-1"/>
          <w:sz w:val="32"/>
          <w:szCs w:val="32"/>
        </w:rPr>
        <w:t>新时代传承红色基因的宜春优势及实现路径研究</w:t>
      </w:r>
    </w:p>
    <w:p w14:paraId="6127DDB4">
      <w:pPr>
        <w:spacing w:before="225" w:line="222" w:lineRule="auto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z w:val="32"/>
          <w:szCs w:val="32"/>
        </w:rPr>
        <w:t>9.</w:t>
      </w:r>
      <w:r>
        <w:rPr>
          <w:rFonts w:ascii="仿宋" w:hAnsi="仿宋" w:eastAsia="仿宋" w:cs="仿宋"/>
          <w:sz w:val="32"/>
          <w:szCs w:val="32"/>
        </w:rPr>
        <w:t>加快构建中国特色、宜春特点的哲学社会科学研究</w:t>
      </w:r>
    </w:p>
    <w:p w14:paraId="5F692127">
      <w:pPr>
        <w:spacing w:before="232" w:line="224" w:lineRule="auto"/>
        <w:ind w:left="4"/>
        <w:outlineLvl w:val="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7"/>
          <w:sz w:val="32"/>
          <w:szCs w:val="32"/>
        </w:rPr>
        <w:t>二、党史、党建类</w:t>
      </w:r>
    </w:p>
    <w:p w14:paraId="3F270C7B">
      <w:pPr>
        <w:spacing w:before="245" w:line="222" w:lineRule="auto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1.</w:t>
      </w:r>
      <w:r>
        <w:rPr>
          <w:rFonts w:ascii="仿宋" w:hAnsi="仿宋" w:eastAsia="仿宋" w:cs="仿宋"/>
          <w:spacing w:val="-3"/>
          <w:sz w:val="32"/>
          <w:szCs w:val="32"/>
        </w:rPr>
        <w:t>健全全面从严治党体系的路径研究</w:t>
      </w:r>
    </w:p>
    <w:p w14:paraId="65F34511">
      <w:pPr>
        <w:spacing w:before="231" w:line="220" w:lineRule="auto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2.</w:t>
      </w:r>
      <w:r>
        <w:rPr>
          <w:rFonts w:ascii="仿宋" w:hAnsi="仿宋" w:eastAsia="仿宋" w:cs="仿宋"/>
          <w:spacing w:val="-3"/>
          <w:sz w:val="32"/>
          <w:szCs w:val="32"/>
        </w:rPr>
        <w:t>加强新兴社会组织党建工作研究</w:t>
      </w:r>
    </w:p>
    <w:p w14:paraId="14FAF5D9">
      <w:pPr>
        <w:spacing w:line="220" w:lineRule="auto"/>
        <w:rPr>
          <w:rFonts w:ascii="仿宋" w:hAnsi="仿宋" w:eastAsia="仿宋" w:cs="仿宋"/>
          <w:sz w:val="32"/>
          <w:szCs w:val="32"/>
        </w:rPr>
        <w:sectPr>
          <w:footerReference r:id="rId5" w:type="default"/>
          <w:pgSz w:w="11900" w:h="16830"/>
          <w:pgMar w:top="1430" w:right="1785" w:bottom="1307" w:left="1710" w:header="0" w:footer="889" w:gutter="0"/>
          <w:cols w:space="720" w:num="1"/>
        </w:sectPr>
      </w:pPr>
    </w:p>
    <w:p w14:paraId="20D78352">
      <w:pPr>
        <w:spacing w:before="190" w:line="222" w:lineRule="auto"/>
        <w:ind w:left="24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5"/>
          <w:sz w:val="31"/>
          <w:szCs w:val="31"/>
        </w:rPr>
        <w:t>3.</w:t>
      </w:r>
      <w:r>
        <w:rPr>
          <w:rFonts w:ascii="仿宋" w:hAnsi="仿宋" w:eastAsia="仿宋" w:cs="仿宋"/>
          <w:spacing w:val="5"/>
          <w:sz w:val="31"/>
          <w:szCs w:val="31"/>
        </w:rPr>
        <w:t>党风廉政建设和反腐败斗争研究</w:t>
      </w:r>
    </w:p>
    <w:p w14:paraId="238D111B">
      <w:pPr>
        <w:spacing w:before="268" w:line="224" w:lineRule="auto"/>
        <w:ind w:left="24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5"/>
          <w:sz w:val="31"/>
          <w:szCs w:val="31"/>
        </w:rPr>
        <w:t>4.</w:t>
      </w:r>
      <w:r>
        <w:rPr>
          <w:rFonts w:ascii="仿宋" w:hAnsi="仿宋" w:eastAsia="仿宋" w:cs="仿宋"/>
          <w:spacing w:val="5"/>
          <w:sz w:val="31"/>
          <w:szCs w:val="31"/>
        </w:rPr>
        <w:t>关于人大理论研究</w:t>
      </w:r>
    </w:p>
    <w:p w14:paraId="6BDD0190">
      <w:pPr>
        <w:spacing w:before="222" w:line="222" w:lineRule="auto"/>
        <w:ind w:left="24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6"/>
          <w:sz w:val="31"/>
          <w:szCs w:val="31"/>
        </w:rPr>
        <w:t>5.</w:t>
      </w:r>
      <w:r>
        <w:rPr>
          <w:rFonts w:ascii="仿宋" w:hAnsi="仿宋" w:eastAsia="仿宋" w:cs="仿宋"/>
          <w:spacing w:val="6"/>
          <w:sz w:val="31"/>
          <w:szCs w:val="31"/>
        </w:rPr>
        <w:t>关于人民政协理论研究</w:t>
      </w:r>
    </w:p>
    <w:p w14:paraId="4DCB66E1">
      <w:pPr>
        <w:spacing w:before="253" w:line="220" w:lineRule="auto"/>
        <w:ind w:left="24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6"/>
          <w:sz w:val="31"/>
          <w:szCs w:val="31"/>
        </w:rPr>
        <w:t>6.</w:t>
      </w:r>
      <w:r>
        <w:rPr>
          <w:rFonts w:ascii="仿宋" w:hAnsi="仿宋" w:eastAsia="仿宋" w:cs="仿宋"/>
          <w:spacing w:val="6"/>
          <w:sz w:val="31"/>
          <w:szCs w:val="31"/>
        </w:rPr>
        <w:t>关于党的组织工作研究及宜春实践</w:t>
      </w:r>
    </w:p>
    <w:p w14:paraId="11B1B2C9">
      <w:pPr>
        <w:spacing w:before="260" w:line="220" w:lineRule="auto"/>
        <w:ind w:left="24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7"/>
          <w:sz w:val="31"/>
          <w:szCs w:val="31"/>
        </w:rPr>
        <w:t>7.</w:t>
      </w:r>
      <w:r>
        <w:rPr>
          <w:rFonts w:ascii="仿宋" w:hAnsi="仿宋" w:eastAsia="仿宋" w:cs="仿宋"/>
          <w:spacing w:val="7"/>
          <w:sz w:val="31"/>
          <w:szCs w:val="31"/>
        </w:rPr>
        <w:t>关于党的宣传工作和意识形态工作研究及宜春实践</w:t>
      </w:r>
    </w:p>
    <w:p w14:paraId="23B5832A">
      <w:pPr>
        <w:spacing w:before="240" w:line="220" w:lineRule="auto"/>
        <w:ind w:left="2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8.关于党的统战工作及宜春实践研究</w:t>
      </w:r>
    </w:p>
    <w:p w14:paraId="5A13BEC5">
      <w:pPr>
        <w:spacing w:before="251" w:line="220" w:lineRule="auto"/>
        <w:ind w:left="24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7"/>
          <w:sz w:val="31"/>
          <w:szCs w:val="31"/>
        </w:rPr>
        <w:t>9.</w:t>
      </w:r>
      <w:r>
        <w:rPr>
          <w:rFonts w:ascii="仿宋" w:hAnsi="仿宋" w:eastAsia="仿宋" w:cs="仿宋"/>
          <w:spacing w:val="7"/>
          <w:sz w:val="31"/>
          <w:szCs w:val="31"/>
        </w:rPr>
        <w:t>关于党的政法工作及宜春实践研究</w:t>
      </w:r>
    </w:p>
    <w:p w14:paraId="3FDF0782">
      <w:pPr>
        <w:spacing w:before="254" w:line="222" w:lineRule="auto"/>
        <w:ind w:left="24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5"/>
          <w:sz w:val="31"/>
          <w:szCs w:val="31"/>
        </w:rPr>
        <w:t>10.</w:t>
      </w:r>
      <w:r>
        <w:rPr>
          <w:rFonts w:ascii="仿宋" w:hAnsi="仿宋" w:eastAsia="仿宋" w:cs="仿宋"/>
          <w:spacing w:val="5"/>
          <w:sz w:val="31"/>
          <w:szCs w:val="31"/>
        </w:rPr>
        <w:t>关于党建引领基层治理研究</w:t>
      </w:r>
    </w:p>
    <w:p w14:paraId="276F64A2">
      <w:pPr>
        <w:spacing w:before="255" w:line="222" w:lineRule="auto"/>
        <w:ind w:left="24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6"/>
          <w:sz w:val="31"/>
          <w:szCs w:val="31"/>
        </w:rPr>
        <w:t>11.</w:t>
      </w:r>
      <w:r>
        <w:rPr>
          <w:rFonts w:ascii="仿宋" w:hAnsi="仿宋" w:eastAsia="仿宋" w:cs="仿宋"/>
          <w:spacing w:val="6"/>
          <w:sz w:val="31"/>
          <w:szCs w:val="31"/>
        </w:rPr>
        <w:t>其他党史、党建类研究</w:t>
      </w:r>
    </w:p>
    <w:p w14:paraId="2A769B84">
      <w:pPr>
        <w:spacing w:before="231" w:line="224" w:lineRule="auto"/>
        <w:ind w:left="29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3"/>
          <w:sz w:val="31"/>
          <w:szCs w:val="31"/>
        </w:rPr>
        <w:t>三、经济发展类</w:t>
      </w:r>
    </w:p>
    <w:p w14:paraId="353268B0">
      <w:pPr>
        <w:spacing w:before="254" w:line="223" w:lineRule="auto"/>
        <w:ind w:left="24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7"/>
          <w:sz w:val="31"/>
          <w:szCs w:val="31"/>
        </w:rPr>
        <w:t>1.</w:t>
      </w:r>
      <w:r>
        <w:rPr>
          <w:rFonts w:ascii="仿宋" w:hAnsi="仿宋" w:eastAsia="仿宋" w:cs="仿宋"/>
          <w:spacing w:val="7"/>
          <w:sz w:val="31"/>
          <w:szCs w:val="31"/>
        </w:rPr>
        <w:t>宜春传统产业改造提升研究</w:t>
      </w:r>
    </w:p>
    <w:p w14:paraId="481CF856">
      <w:pPr>
        <w:spacing w:before="242" w:line="222" w:lineRule="auto"/>
        <w:ind w:left="24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6"/>
          <w:sz w:val="31"/>
          <w:szCs w:val="31"/>
        </w:rPr>
        <w:t>2.</w:t>
      </w:r>
      <w:r>
        <w:rPr>
          <w:rFonts w:ascii="仿宋" w:hAnsi="仿宋" w:eastAsia="仿宋" w:cs="仿宋"/>
          <w:spacing w:val="6"/>
          <w:sz w:val="31"/>
          <w:szCs w:val="31"/>
        </w:rPr>
        <w:t>宜春大力提振消费研究</w:t>
      </w:r>
    </w:p>
    <w:p w14:paraId="36BB8A42">
      <w:pPr>
        <w:spacing w:before="247" w:line="222" w:lineRule="auto"/>
        <w:ind w:left="24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5"/>
          <w:sz w:val="31"/>
          <w:szCs w:val="31"/>
        </w:rPr>
        <w:t>3.</w:t>
      </w:r>
      <w:r>
        <w:rPr>
          <w:rFonts w:ascii="仿宋" w:hAnsi="仿宋" w:eastAsia="仿宋" w:cs="仿宋"/>
          <w:spacing w:val="5"/>
          <w:sz w:val="31"/>
          <w:szCs w:val="31"/>
        </w:rPr>
        <w:t>宜春着力提升科技创新能力研究</w:t>
      </w:r>
    </w:p>
    <w:p w14:paraId="4B1F184C">
      <w:pPr>
        <w:spacing w:before="242" w:line="219" w:lineRule="auto"/>
        <w:ind w:left="24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7"/>
          <w:sz w:val="31"/>
          <w:szCs w:val="31"/>
        </w:rPr>
        <w:t>4.</w:t>
      </w:r>
      <w:r>
        <w:rPr>
          <w:rFonts w:ascii="仿宋" w:hAnsi="仿宋" w:eastAsia="仿宋" w:cs="仿宋"/>
          <w:spacing w:val="7"/>
          <w:sz w:val="31"/>
          <w:szCs w:val="31"/>
        </w:rPr>
        <w:t>宜春全面推进制造业数字化转型研究</w:t>
      </w:r>
    </w:p>
    <w:p w14:paraId="7D79EDD7">
      <w:pPr>
        <w:spacing w:before="260" w:line="222" w:lineRule="auto"/>
        <w:ind w:left="24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7"/>
          <w:sz w:val="31"/>
          <w:szCs w:val="31"/>
        </w:rPr>
        <w:t>5.</w:t>
      </w:r>
      <w:r>
        <w:rPr>
          <w:rFonts w:ascii="仿宋" w:hAnsi="仿宋" w:eastAsia="仿宋" w:cs="仿宋"/>
          <w:spacing w:val="7"/>
          <w:sz w:val="31"/>
          <w:szCs w:val="31"/>
        </w:rPr>
        <w:t>宜春打造一流营商环境研究</w:t>
      </w:r>
    </w:p>
    <w:p w14:paraId="469EF1CB">
      <w:pPr>
        <w:spacing w:before="255" w:line="222" w:lineRule="auto"/>
        <w:ind w:left="24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5"/>
          <w:sz w:val="31"/>
          <w:szCs w:val="31"/>
        </w:rPr>
        <w:t>6.</w:t>
      </w:r>
      <w:r>
        <w:rPr>
          <w:rFonts w:ascii="仿宋" w:hAnsi="仿宋" w:eastAsia="仿宋" w:cs="仿宋"/>
          <w:spacing w:val="5"/>
          <w:sz w:val="31"/>
          <w:szCs w:val="31"/>
        </w:rPr>
        <w:t>宜春深入推进乡村全面振兴研究</w:t>
      </w:r>
    </w:p>
    <w:p w14:paraId="25EEDA39">
      <w:pPr>
        <w:spacing w:before="246" w:line="221" w:lineRule="auto"/>
        <w:ind w:left="24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6"/>
          <w:sz w:val="31"/>
          <w:szCs w:val="31"/>
        </w:rPr>
        <w:t>7.</w:t>
      </w:r>
      <w:r>
        <w:rPr>
          <w:rFonts w:ascii="仿宋" w:hAnsi="仿宋" w:eastAsia="仿宋" w:cs="仿宋"/>
          <w:spacing w:val="6"/>
          <w:sz w:val="31"/>
          <w:szCs w:val="31"/>
        </w:rPr>
        <w:t>宜春低空经济高质量发展研究</w:t>
      </w:r>
    </w:p>
    <w:p w14:paraId="272DDB6F">
      <w:pPr>
        <w:spacing w:before="248" w:line="220" w:lineRule="auto"/>
        <w:ind w:left="24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9"/>
          <w:sz w:val="31"/>
          <w:szCs w:val="31"/>
        </w:rPr>
        <w:t>8.</w:t>
      </w:r>
      <w:r>
        <w:rPr>
          <w:rFonts w:ascii="仿宋" w:hAnsi="仿宋" w:eastAsia="仿宋" w:cs="仿宋"/>
          <w:spacing w:val="9"/>
          <w:sz w:val="31"/>
          <w:szCs w:val="31"/>
        </w:rPr>
        <w:t>宜春开展“强作风</w:t>
      </w:r>
      <w:r>
        <w:rPr>
          <w:rFonts w:ascii="仿宋" w:hAnsi="仿宋" w:eastAsia="仿宋" w:cs="仿宋"/>
          <w:spacing w:val="14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促发展”活动实践研究</w:t>
      </w:r>
    </w:p>
    <w:p w14:paraId="22A1000B">
      <w:pPr>
        <w:spacing w:before="226" w:line="224" w:lineRule="auto"/>
        <w:ind w:left="29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-1"/>
          <w:sz w:val="31"/>
          <w:szCs w:val="31"/>
        </w:rPr>
        <w:t>四、社会发展类</w:t>
      </w:r>
    </w:p>
    <w:p w14:paraId="4A11A6D7">
      <w:pPr>
        <w:spacing w:before="273" w:line="222" w:lineRule="auto"/>
        <w:ind w:left="24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7"/>
          <w:sz w:val="31"/>
          <w:szCs w:val="31"/>
        </w:rPr>
        <w:t>1.</w:t>
      </w:r>
      <w:r>
        <w:rPr>
          <w:rFonts w:ascii="仿宋" w:hAnsi="仿宋" w:eastAsia="仿宋" w:cs="仿宋"/>
          <w:spacing w:val="7"/>
          <w:sz w:val="31"/>
          <w:szCs w:val="31"/>
        </w:rPr>
        <w:t>推进宜春市域社会治理现代化研究</w:t>
      </w:r>
    </w:p>
    <w:p w14:paraId="6242C165">
      <w:pPr>
        <w:spacing w:before="245" w:line="222" w:lineRule="auto"/>
        <w:ind w:left="24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7"/>
          <w:sz w:val="31"/>
          <w:szCs w:val="31"/>
        </w:rPr>
        <w:t>2.</w:t>
      </w:r>
      <w:r>
        <w:rPr>
          <w:rFonts w:ascii="仿宋" w:hAnsi="仿宋" w:eastAsia="仿宋" w:cs="仿宋"/>
          <w:spacing w:val="7"/>
          <w:sz w:val="31"/>
          <w:szCs w:val="31"/>
        </w:rPr>
        <w:t>推进宜春节能减排建设研究</w:t>
      </w:r>
    </w:p>
    <w:p w14:paraId="1EF57E0F">
      <w:pPr>
        <w:pStyle w:val="2"/>
        <w:spacing w:line="300" w:lineRule="auto"/>
      </w:pPr>
    </w:p>
    <w:p w14:paraId="33A1ED93">
      <w:pPr>
        <w:pStyle w:val="2"/>
        <w:spacing w:line="301" w:lineRule="auto"/>
      </w:pPr>
    </w:p>
    <w:p w14:paraId="207519E6">
      <w:pPr>
        <w:pStyle w:val="2"/>
        <w:spacing w:line="301" w:lineRule="auto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211455</wp:posOffset>
            </wp:positionV>
            <wp:extent cx="476250" cy="63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6285" cy="6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B874C5">
      <w:pPr>
        <w:spacing w:before="71"/>
        <w:ind w:left="2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—8—</w:t>
      </w:r>
    </w:p>
    <w:p w14:paraId="28307142">
      <w:pPr>
        <w:rPr>
          <w:rFonts w:ascii="宋体" w:hAnsi="宋体" w:eastAsia="宋体" w:cs="宋体"/>
          <w:sz w:val="22"/>
          <w:szCs w:val="22"/>
        </w:rPr>
        <w:sectPr>
          <w:footerReference r:id="rId6" w:type="default"/>
          <w:pgSz w:w="11900" w:h="16830"/>
          <w:pgMar w:top="1430" w:right="1785" w:bottom="400" w:left="1785" w:header="0" w:footer="0" w:gutter="0"/>
          <w:cols w:space="720" w:num="1"/>
        </w:sectPr>
      </w:pPr>
    </w:p>
    <w:p w14:paraId="239279CB">
      <w:pPr>
        <w:pStyle w:val="2"/>
        <w:spacing w:line="287" w:lineRule="auto"/>
      </w:pPr>
    </w:p>
    <w:p w14:paraId="1EB5A4A3">
      <w:pPr>
        <w:spacing w:before="101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5"/>
          <w:sz w:val="31"/>
          <w:szCs w:val="31"/>
        </w:rPr>
        <w:t>3.</w:t>
      </w:r>
      <w:r>
        <w:rPr>
          <w:rFonts w:ascii="仿宋" w:hAnsi="仿宋" w:eastAsia="仿宋" w:cs="仿宋"/>
          <w:spacing w:val="5"/>
          <w:sz w:val="31"/>
          <w:szCs w:val="31"/>
        </w:rPr>
        <w:t>推进应急、管理、救援建设研究</w:t>
      </w:r>
    </w:p>
    <w:p w14:paraId="1920A569">
      <w:pPr>
        <w:spacing w:before="247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7"/>
          <w:sz w:val="31"/>
          <w:szCs w:val="31"/>
        </w:rPr>
        <w:t>4.</w:t>
      </w:r>
      <w:r>
        <w:rPr>
          <w:rFonts w:ascii="仿宋" w:hAnsi="仿宋" w:eastAsia="仿宋" w:cs="仿宋"/>
          <w:spacing w:val="7"/>
          <w:sz w:val="31"/>
          <w:szCs w:val="31"/>
        </w:rPr>
        <w:t>宜春职业教育产教融合、科教融合研究</w:t>
      </w:r>
    </w:p>
    <w:p w14:paraId="30C63A41">
      <w:pPr>
        <w:spacing w:before="244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6"/>
          <w:sz w:val="31"/>
          <w:szCs w:val="31"/>
        </w:rPr>
        <w:t>5.</w:t>
      </w:r>
      <w:r>
        <w:rPr>
          <w:rFonts w:ascii="仿宋" w:hAnsi="仿宋" w:eastAsia="仿宋" w:cs="仿宋"/>
          <w:spacing w:val="6"/>
          <w:sz w:val="31"/>
          <w:szCs w:val="31"/>
        </w:rPr>
        <w:t>宜春提升城市功能品质研究</w:t>
      </w:r>
    </w:p>
    <w:p w14:paraId="2446A8D6">
      <w:pPr>
        <w:spacing w:before="256" w:line="221" w:lineRule="auto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7"/>
          <w:sz w:val="31"/>
          <w:szCs w:val="31"/>
        </w:rPr>
        <w:t>6.</w:t>
      </w:r>
      <w:r>
        <w:rPr>
          <w:rFonts w:ascii="仿宋" w:hAnsi="仿宋" w:eastAsia="仿宋" w:cs="仿宋"/>
          <w:spacing w:val="7"/>
          <w:sz w:val="31"/>
          <w:szCs w:val="31"/>
        </w:rPr>
        <w:t>宜春妇女、儿童权益保障研究</w:t>
      </w:r>
    </w:p>
    <w:p w14:paraId="1AB95BB9">
      <w:pPr>
        <w:spacing w:before="252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6"/>
          <w:sz w:val="31"/>
          <w:szCs w:val="31"/>
        </w:rPr>
        <w:t>7.</w:t>
      </w:r>
      <w:r>
        <w:rPr>
          <w:rFonts w:ascii="仿宋" w:hAnsi="仿宋" w:eastAsia="仿宋" w:cs="仿宋"/>
          <w:spacing w:val="6"/>
          <w:sz w:val="31"/>
          <w:szCs w:val="31"/>
        </w:rPr>
        <w:t>宜春青少年发展研究</w:t>
      </w:r>
    </w:p>
    <w:p w14:paraId="163A3E52">
      <w:pPr>
        <w:spacing w:before="245" w:line="294" w:lineRule="auto"/>
        <w:ind w:right="144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8"/>
          <w:sz w:val="31"/>
          <w:szCs w:val="31"/>
        </w:rPr>
        <w:t>8.</w:t>
      </w:r>
      <w:r>
        <w:rPr>
          <w:rFonts w:ascii="仿宋" w:hAnsi="仿宋" w:eastAsia="仿宋" w:cs="仿宋"/>
          <w:spacing w:val="8"/>
          <w:sz w:val="31"/>
          <w:szCs w:val="31"/>
        </w:rPr>
        <w:t>宜春义务教育优质均衡发展、教师队伍建</w:t>
      </w:r>
      <w:r>
        <w:rPr>
          <w:rFonts w:ascii="仿宋" w:hAnsi="仿宋" w:eastAsia="仿宋" w:cs="仿宋"/>
          <w:spacing w:val="7"/>
          <w:sz w:val="31"/>
          <w:szCs w:val="31"/>
        </w:rPr>
        <w:t>设、学生心理健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康工作研究</w:t>
      </w:r>
    </w:p>
    <w:p w14:paraId="6A39DC42">
      <w:pPr>
        <w:spacing w:before="251" w:line="221" w:lineRule="auto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6"/>
          <w:sz w:val="31"/>
          <w:szCs w:val="31"/>
        </w:rPr>
        <w:t>9.</w:t>
      </w:r>
      <w:r>
        <w:rPr>
          <w:rFonts w:ascii="仿宋" w:hAnsi="仿宋" w:eastAsia="仿宋" w:cs="仿宋"/>
          <w:spacing w:val="6"/>
          <w:sz w:val="31"/>
          <w:szCs w:val="31"/>
        </w:rPr>
        <w:t>宜春生态环境保护研究</w:t>
      </w:r>
    </w:p>
    <w:p w14:paraId="77DBC87C">
      <w:pPr>
        <w:spacing w:before="250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7"/>
          <w:sz w:val="31"/>
          <w:szCs w:val="31"/>
        </w:rPr>
        <w:t>10.</w:t>
      </w:r>
      <w:r>
        <w:rPr>
          <w:rFonts w:ascii="仿宋" w:hAnsi="仿宋" w:eastAsia="仿宋" w:cs="仿宋"/>
          <w:spacing w:val="7"/>
          <w:sz w:val="31"/>
          <w:szCs w:val="31"/>
        </w:rPr>
        <w:t>宜春志愿服务创新机制研究</w:t>
      </w:r>
    </w:p>
    <w:p w14:paraId="01E6A99A">
      <w:pPr>
        <w:spacing w:before="246"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8"/>
          <w:sz w:val="31"/>
          <w:szCs w:val="31"/>
        </w:rPr>
        <w:t>11.</w:t>
      </w:r>
      <w:r>
        <w:rPr>
          <w:rFonts w:ascii="仿宋" w:hAnsi="仿宋" w:eastAsia="仿宋" w:cs="仿宋"/>
          <w:spacing w:val="8"/>
          <w:sz w:val="31"/>
          <w:szCs w:val="31"/>
        </w:rPr>
        <w:t>宜春加强医疗机构管理工作的研究</w:t>
      </w:r>
    </w:p>
    <w:p w14:paraId="26ED08A8">
      <w:pPr>
        <w:spacing w:before="252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5"/>
          <w:sz w:val="31"/>
          <w:szCs w:val="31"/>
        </w:rPr>
        <w:t>12.</w:t>
      </w:r>
      <w:r>
        <w:rPr>
          <w:rFonts w:ascii="仿宋" w:hAnsi="仿宋" w:eastAsia="仿宋" w:cs="仿宋"/>
          <w:spacing w:val="5"/>
          <w:sz w:val="31"/>
          <w:szCs w:val="31"/>
        </w:rPr>
        <w:t>其他社会发展类研究</w:t>
      </w:r>
    </w:p>
    <w:p w14:paraId="1339BCD3">
      <w:pPr>
        <w:spacing w:before="256" w:line="232" w:lineRule="auto"/>
        <w:ind w:left="4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5"/>
          <w:sz w:val="31"/>
          <w:szCs w:val="31"/>
        </w:rPr>
        <w:t>五、红色文化和历史文化类</w:t>
      </w:r>
    </w:p>
    <w:p w14:paraId="2564FFB7">
      <w:pPr>
        <w:spacing w:before="224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8"/>
          <w:sz w:val="31"/>
          <w:szCs w:val="31"/>
        </w:rPr>
        <w:t>1.</w:t>
      </w:r>
      <w:r>
        <w:rPr>
          <w:rFonts w:ascii="仿宋" w:hAnsi="仿宋" w:eastAsia="仿宋" w:cs="仿宋"/>
          <w:spacing w:val="8"/>
          <w:sz w:val="31"/>
          <w:szCs w:val="31"/>
        </w:rPr>
        <w:t>宜春地方文化传承与创新发展研究</w:t>
      </w:r>
    </w:p>
    <w:p w14:paraId="450FA88A">
      <w:pPr>
        <w:spacing w:before="245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8"/>
          <w:sz w:val="31"/>
          <w:szCs w:val="31"/>
        </w:rPr>
        <w:t>2.</w:t>
      </w:r>
      <w:r>
        <w:rPr>
          <w:rFonts w:ascii="仿宋" w:hAnsi="仿宋" w:eastAsia="仿宋" w:cs="仿宋"/>
          <w:spacing w:val="8"/>
          <w:sz w:val="31"/>
          <w:szCs w:val="31"/>
        </w:rPr>
        <w:t>宜春公共文化服务功能研究</w:t>
      </w:r>
    </w:p>
    <w:p w14:paraId="5527D33E">
      <w:pPr>
        <w:spacing w:before="249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6"/>
          <w:sz w:val="31"/>
          <w:szCs w:val="31"/>
        </w:rPr>
        <w:t>3.</w:t>
      </w:r>
      <w:r>
        <w:rPr>
          <w:rFonts w:ascii="仿宋" w:hAnsi="仿宋" w:eastAsia="仿宋" w:cs="仿宋"/>
          <w:spacing w:val="6"/>
          <w:sz w:val="31"/>
          <w:szCs w:val="31"/>
        </w:rPr>
        <w:t>宜春历史文化名人研究</w:t>
      </w:r>
    </w:p>
    <w:p w14:paraId="04E592D6">
      <w:pPr>
        <w:spacing w:before="257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8"/>
          <w:sz w:val="31"/>
          <w:szCs w:val="31"/>
        </w:rPr>
        <w:t>4.</w:t>
      </w:r>
      <w:r>
        <w:rPr>
          <w:rFonts w:ascii="仿宋" w:hAnsi="仿宋" w:eastAsia="仿宋" w:cs="仿宋"/>
          <w:spacing w:val="8"/>
          <w:sz w:val="31"/>
          <w:szCs w:val="31"/>
        </w:rPr>
        <w:t>宜春红色文化研究</w:t>
      </w:r>
    </w:p>
    <w:p w14:paraId="495E3385">
      <w:pPr>
        <w:spacing w:before="244" w:line="221" w:lineRule="auto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7"/>
          <w:sz w:val="31"/>
          <w:szCs w:val="31"/>
        </w:rPr>
        <w:t>5.</w:t>
      </w:r>
      <w:r>
        <w:rPr>
          <w:rFonts w:ascii="仿宋" w:hAnsi="仿宋" w:eastAsia="仿宋" w:cs="仿宋"/>
          <w:spacing w:val="7"/>
          <w:sz w:val="31"/>
          <w:szCs w:val="31"/>
        </w:rPr>
        <w:t>宜春古镇、古村历史文化研究</w:t>
      </w:r>
    </w:p>
    <w:p w14:paraId="10623A3C">
      <w:pPr>
        <w:spacing w:before="243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6"/>
          <w:sz w:val="31"/>
          <w:szCs w:val="31"/>
        </w:rPr>
        <w:t>6.</w:t>
      </w:r>
      <w:r>
        <w:rPr>
          <w:rFonts w:ascii="仿宋" w:hAnsi="仿宋" w:eastAsia="仿宋" w:cs="仿宋"/>
          <w:spacing w:val="6"/>
          <w:sz w:val="31"/>
          <w:szCs w:val="31"/>
        </w:rPr>
        <w:t>宜春非遗文化研究</w:t>
      </w:r>
    </w:p>
    <w:p w14:paraId="67B05E6A">
      <w:pPr>
        <w:spacing w:before="244" w:line="222" w:lineRule="auto"/>
      </w:pPr>
      <w:r>
        <w:rPr>
          <w:rFonts w:ascii="宋体" w:hAnsi="宋体" w:eastAsia="宋体" w:cs="宋体"/>
          <w:spacing w:val="6"/>
          <w:sz w:val="31"/>
          <w:szCs w:val="31"/>
        </w:rPr>
        <w:t>7.</w:t>
      </w:r>
      <w:r>
        <w:rPr>
          <w:rFonts w:ascii="仿宋" w:hAnsi="仿宋" w:eastAsia="仿宋" w:cs="仿宋"/>
          <w:spacing w:val="6"/>
          <w:sz w:val="31"/>
          <w:szCs w:val="31"/>
        </w:rPr>
        <w:t>其他历史文化方面的研究</w:t>
      </w:r>
      <w:bookmarkStart w:id="0" w:name="_GoBack"/>
      <w:bookmarkEnd w:id="0"/>
    </w:p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ED43E">
    <w:pPr>
      <w:spacing w:line="235" w:lineRule="auto"/>
      <w:jc w:val="right"/>
      <w:rPr>
        <w:rFonts w:ascii="仿宋" w:hAnsi="仿宋" w:eastAsia="仿宋" w:cs="仿宋"/>
        <w:sz w:val="32"/>
        <w:szCs w:val="32"/>
      </w:rPr>
    </w:pPr>
    <w:r>
      <w:rPr>
        <w:rFonts w:ascii="仿宋" w:hAnsi="仿宋" w:eastAsia="仿宋" w:cs="仿宋"/>
        <w:spacing w:val="-30"/>
        <w:w w:val="98"/>
        <w:sz w:val="32"/>
        <w:szCs w:val="32"/>
      </w:rPr>
      <w:t>—7</w:t>
    </w:r>
    <w:r>
      <w:rPr>
        <w:rFonts w:ascii="仿宋" w:hAnsi="仿宋" w:eastAsia="仿宋" w:cs="仿宋"/>
        <w:spacing w:val="-9"/>
        <w:w w:val="98"/>
        <w:sz w:val="32"/>
        <w:szCs w:val="32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3E2D06">
    <w:pPr>
      <w:pStyle w:val="2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66661">
    <w:pPr>
      <w:tabs>
        <w:tab w:val="left" w:pos="7909"/>
      </w:tabs>
      <w:spacing w:line="224" w:lineRule="auto"/>
      <w:ind w:left="7639"/>
      <w:rPr>
        <w:rFonts w:ascii="宋体" w:hAnsi="宋体" w:eastAsia="宋体" w:cs="宋体"/>
        <w:sz w:val="12"/>
        <w:szCs w:val="12"/>
      </w:rPr>
    </w:pPr>
    <w:r>
      <w:rPr>
        <w:rFonts w:ascii="宋体" w:hAnsi="宋体" w:eastAsia="宋体" w:cs="宋体"/>
        <w:sz w:val="12"/>
        <w:szCs w:val="12"/>
        <w:u w:val="single" w:color="auto"/>
      </w:rPr>
      <w:tab/>
    </w:r>
    <w:r>
      <w:rPr>
        <w:rFonts w:ascii="宋体" w:hAnsi="宋体" w:eastAsia="宋体" w:cs="宋体"/>
        <w:spacing w:val="-1"/>
        <w:sz w:val="12"/>
        <w:szCs w:val="12"/>
        <w:u w:val="single" w:color="auto"/>
      </w:rPr>
      <w:t>—9—</w:t>
    </w:r>
    <w:r>
      <w:rPr>
        <w:rFonts w:ascii="宋体" w:hAnsi="宋体" w:eastAsia="宋体" w:cs="宋体"/>
        <w:sz w:val="12"/>
        <w:szCs w:val="12"/>
        <w:u w:val="single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030B0F"/>
    <w:rsid w:val="6203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2025-03-21T08:26:00Z</dcterms:created>
  <dc:creator>泛泛</dc:creator>
  <cp:lastModifiedBy>泛泛</cp:lastModifiedBy>
  <dcterms:modified xsi:type="dcterms:W3CDTF">2025-03-21T08:29:16Z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A0276367988E4F179980F97165C7B988_11</vt:lpwstr>
  </property>
  <property fmtid="{D5CDD505-2E9C-101B-9397-08002B2CF9AE}" pid="4" name="KSOTemplateDocerSaveRecord">
    <vt:lpwstr>eyJoZGlkIjoiZTZmMmUyZmYyOTdkOGZjNTZiMDE1M2IzYjE3MGQ0YjgiLCJ1c2VySWQiOiI1MjIzMDI1OTIifQ==</vt:lpwstr>
  </property>
</Properties>
</file>